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3EA" w:rsidRDefault="00E1766C" w:rsidP="00DF53EA">
      <w:pPr>
        <w:pStyle w:val="Style"/>
        <w:widowControl/>
        <w:tabs>
          <w:tab w:val="left" w:pos="567"/>
          <w:tab w:val="left" w:pos="1134"/>
          <w:tab w:val="left" w:pos="1701"/>
          <w:tab w:val="left" w:pos="2268"/>
          <w:tab w:val="left" w:pos="2835"/>
        </w:tabs>
        <w:spacing w:before="100" w:beforeAutospacing="1" w:after="100" w:afterAutospacing="1"/>
        <w:jc w:val="center"/>
        <w:rPr>
          <w:rFonts w:ascii="Georgia" w:hAnsi="Georgia"/>
          <w:sz w:val="20"/>
        </w:rPr>
      </w:pPr>
      <w:bookmarkStart w:id="0" w:name="_GoBack"/>
      <w:bookmarkEnd w:id="0"/>
      <w:r>
        <w:rPr>
          <w:rFonts w:ascii="Georgia" w:hAnsi="Georgia" w:cs="Arial"/>
          <w:b/>
          <w:noProof/>
          <w:sz w:val="28"/>
          <w:szCs w:val="22"/>
        </w:rPr>
        <w:drawing>
          <wp:inline distT="0" distB="0" distL="0" distR="0">
            <wp:extent cx="1847850" cy="1495425"/>
            <wp:effectExtent l="19050" t="0" r="0" b="0"/>
            <wp:docPr id="1" name="Picture 1" descr="A61428 The Counselling Found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61428 The Counselling Foundation (1)"/>
                    <pic:cNvPicPr>
                      <a:picLocks noChangeAspect="1" noChangeArrowheads="1"/>
                    </pic:cNvPicPr>
                  </pic:nvPicPr>
                  <pic:blipFill>
                    <a:blip r:embed="rId7" cstate="print"/>
                    <a:srcRect/>
                    <a:stretch>
                      <a:fillRect/>
                    </a:stretch>
                  </pic:blipFill>
                  <pic:spPr bwMode="auto">
                    <a:xfrm>
                      <a:off x="0" y="0"/>
                      <a:ext cx="1847850" cy="1495425"/>
                    </a:xfrm>
                    <a:prstGeom prst="rect">
                      <a:avLst/>
                    </a:prstGeom>
                    <a:noFill/>
                    <a:ln w="9525">
                      <a:noFill/>
                      <a:miter lim="800000"/>
                      <a:headEnd/>
                      <a:tailEnd/>
                    </a:ln>
                  </pic:spPr>
                </pic:pic>
              </a:graphicData>
            </a:graphic>
          </wp:inline>
        </w:drawing>
      </w:r>
    </w:p>
    <w:p w:rsidR="00AB5150" w:rsidRPr="00AB5150" w:rsidRDefault="00DF53EA" w:rsidP="00AB5150">
      <w:pPr>
        <w:pStyle w:val="Heading1"/>
        <w:jc w:val="center"/>
        <w:rPr>
          <w:b/>
          <w:color w:val="000000" w:themeColor="text1"/>
        </w:rPr>
      </w:pPr>
      <w:r w:rsidRPr="00AB5150">
        <w:rPr>
          <w:rFonts w:ascii="Arial" w:hAnsi="Arial" w:cs="Arial"/>
          <w:b/>
          <w:color w:val="000000" w:themeColor="text1"/>
          <w:sz w:val="28"/>
          <w:lang w:val="en-US"/>
        </w:rPr>
        <w:t xml:space="preserve">TCF </w:t>
      </w:r>
      <w:r w:rsidR="00AB5150" w:rsidRPr="00AB5150">
        <w:rPr>
          <w:b/>
          <w:color w:val="000000" w:themeColor="text1"/>
        </w:rPr>
        <w:t>Strategy for addressing accessibility limitations</w:t>
      </w:r>
    </w:p>
    <w:p w:rsidR="003B555A" w:rsidRPr="00DF53EA" w:rsidRDefault="003B555A" w:rsidP="00DF53EA">
      <w:pPr>
        <w:pStyle w:val="Style"/>
        <w:widowControl/>
        <w:tabs>
          <w:tab w:val="left" w:pos="567"/>
          <w:tab w:val="left" w:pos="1134"/>
          <w:tab w:val="left" w:pos="1701"/>
          <w:tab w:val="left" w:pos="2268"/>
          <w:tab w:val="left" w:pos="2835"/>
        </w:tabs>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801"/>
      </w:tblGrid>
      <w:tr w:rsidR="00385FC7" w:rsidRPr="002B3D73" w:rsidTr="001616AA">
        <w:tc>
          <w:tcPr>
            <w:tcW w:w="3085" w:type="dxa"/>
          </w:tcPr>
          <w:p w:rsidR="002B3D73" w:rsidRPr="001616AA" w:rsidRDefault="001616AA" w:rsidP="002B3D73">
            <w:pPr>
              <w:pStyle w:val="Style"/>
              <w:widowControl/>
              <w:tabs>
                <w:tab w:val="left" w:pos="567"/>
                <w:tab w:val="left" w:pos="1134"/>
                <w:tab w:val="left" w:pos="1701"/>
                <w:tab w:val="left" w:pos="2268"/>
                <w:tab w:val="left" w:pos="2835"/>
              </w:tabs>
              <w:rPr>
                <w:rFonts w:ascii="Arial" w:hAnsi="Arial" w:cs="Arial"/>
                <w:b/>
                <w:lang w:val="en-US"/>
              </w:rPr>
            </w:pPr>
            <w:r>
              <w:rPr>
                <w:rFonts w:ascii="Arial" w:hAnsi="Arial" w:cs="Arial"/>
                <w:b/>
                <w:lang w:val="en-US"/>
              </w:rPr>
              <w:t xml:space="preserve">Review Date &amp; </w:t>
            </w:r>
            <w:r w:rsidR="002B3D73" w:rsidRPr="001616AA">
              <w:rPr>
                <w:rFonts w:ascii="Arial" w:hAnsi="Arial" w:cs="Arial"/>
                <w:b/>
                <w:lang w:val="en-US"/>
              </w:rPr>
              <w:t>Version #</w:t>
            </w:r>
          </w:p>
          <w:p w:rsidR="002B3D73" w:rsidRPr="001616AA" w:rsidRDefault="002B3D73" w:rsidP="002B3D73">
            <w:pPr>
              <w:pStyle w:val="Style"/>
              <w:widowControl/>
              <w:tabs>
                <w:tab w:val="left" w:pos="567"/>
                <w:tab w:val="left" w:pos="1134"/>
                <w:tab w:val="left" w:pos="1701"/>
                <w:tab w:val="left" w:pos="2268"/>
                <w:tab w:val="left" w:pos="2835"/>
              </w:tabs>
              <w:rPr>
                <w:rFonts w:ascii="Arial" w:hAnsi="Arial" w:cs="Arial"/>
                <w:b/>
                <w:lang w:val="en-US"/>
              </w:rPr>
            </w:pPr>
          </w:p>
        </w:tc>
        <w:tc>
          <w:tcPr>
            <w:tcW w:w="5801" w:type="dxa"/>
          </w:tcPr>
          <w:p w:rsidR="002B3D73" w:rsidRPr="002B3D73" w:rsidRDefault="00AB5150" w:rsidP="001616AA">
            <w:pPr>
              <w:pStyle w:val="Style"/>
              <w:widowControl/>
              <w:tabs>
                <w:tab w:val="left" w:pos="567"/>
                <w:tab w:val="left" w:pos="1134"/>
                <w:tab w:val="left" w:pos="1701"/>
                <w:tab w:val="left" w:pos="2268"/>
                <w:tab w:val="left" w:pos="2835"/>
              </w:tabs>
              <w:rPr>
                <w:rFonts w:ascii="Arial" w:hAnsi="Arial" w:cs="Arial"/>
                <w:lang w:val="en-US"/>
              </w:rPr>
            </w:pPr>
            <w:r>
              <w:rPr>
                <w:rFonts w:ascii="Arial" w:hAnsi="Arial" w:cs="Arial"/>
                <w:lang w:val="en-US"/>
              </w:rPr>
              <w:t>October 2014</w:t>
            </w:r>
          </w:p>
        </w:tc>
      </w:tr>
      <w:tr w:rsidR="00385FC7" w:rsidRPr="002B3D73" w:rsidTr="001616AA">
        <w:tc>
          <w:tcPr>
            <w:tcW w:w="3085" w:type="dxa"/>
          </w:tcPr>
          <w:p w:rsidR="002B3D73" w:rsidRPr="001616AA" w:rsidRDefault="002B3D73" w:rsidP="002B3D73">
            <w:pPr>
              <w:pStyle w:val="Style"/>
              <w:widowControl/>
              <w:tabs>
                <w:tab w:val="left" w:pos="567"/>
                <w:tab w:val="left" w:pos="1134"/>
                <w:tab w:val="left" w:pos="1701"/>
                <w:tab w:val="left" w:pos="2268"/>
                <w:tab w:val="left" w:pos="2835"/>
              </w:tabs>
              <w:rPr>
                <w:rFonts w:ascii="Arial" w:hAnsi="Arial" w:cs="Arial"/>
                <w:b/>
                <w:lang w:val="en-US"/>
              </w:rPr>
            </w:pPr>
            <w:r w:rsidRPr="001616AA">
              <w:rPr>
                <w:rFonts w:ascii="Arial" w:hAnsi="Arial" w:cs="Arial"/>
                <w:b/>
                <w:lang w:val="en-US"/>
              </w:rPr>
              <w:t xml:space="preserve">Owner </w:t>
            </w:r>
          </w:p>
          <w:p w:rsidR="002B3D73" w:rsidRPr="001616AA" w:rsidRDefault="002B3D73" w:rsidP="002B3D73">
            <w:pPr>
              <w:pStyle w:val="Style"/>
              <w:widowControl/>
              <w:tabs>
                <w:tab w:val="left" w:pos="567"/>
                <w:tab w:val="left" w:pos="1134"/>
                <w:tab w:val="left" w:pos="1701"/>
                <w:tab w:val="left" w:pos="2268"/>
                <w:tab w:val="left" w:pos="2835"/>
              </w:tabs>
              <w:rPr>
                <w:rFonts w:ascii="Arial" w:hAnsi="Arial" w:cs="Arial"/>
                <w:b/>
                <w:lang w:val="en-US"/>
              </w:rPr>
            </w:pPr>
          </w:p>
        </w:tc>
        <w:tc>
          <w:tcPr>
            <w:tcW w:w="5801" w:type="dxa"/>
          </w:tcPr>
          <w:p w:rsidR="002B3D73" w:rsidRPr="002B3D73" w:rsidRDefault="00AB5150" w:rsidP="00AB5150">
            <w:pPr>
              <w:pStyle w:val="Style"/>
              <w:widowControl/>
              <w:tabs>
                <w:tab w:val="left" w:pos="567"/>
                <w:tab w:val="left" w:pos="1134"/>
                <w:tab w:val="left" w:pos="1701"/>
                <w:tab w:val="left" w:pos="2268"/>
                <w:tab w:val="left" w:pos="2835"/>
              </w:tabs>
              <w:rPr>
                <w:rFonts w:ascii="Arial" w:hAnsi="Arial" w:cs="Arial"/>
                <w:lang w:val="en-US"/>
              </w:rPr>
            </w:pPr>
            <w:r>
              <w:rPr>
                <w:rFonts w:ascii="Arial" w:hAnsi="Arial" w:cs="Arial"/>
                <w:lang w:val="en-US"/>
              </w:rPr>
              <w:t>Judy Mallinson</w:t>
            </w:r>
          </w:p>
        </w:tc>
      </w:tr>
      <w:tr w:rsidR="00385FC7" w:rsidRPr="002B3D73" w:rsidTr="001616AA">
        <w:tc>
          <w:tcPr>
            <w:tcW w:w="3085" w:type="dxa"/>
          </w:tcPr>
          <w:p w:rsidR="002B3D73" w:rsidRPr="001616AA" w:rsidRDefault="002B3D73" w:rsidP="002B3D73">
            <w:pPr>
              <w:pStyle w:val="Style"/>
              <w:widowControl/>
              <w:tabs>
                <w:tab w:val="left" w:pos="567"/>
                <w:tab w:val="left" w:pos="1134"/>
                <w:tab w:val="left" w:pos="1701"/>
                <w:tab w:val="left" w:pos="2268"/>
                <w:tab w:val="left" w:pos="2835"/>
              </w:tabs>
              <w:rPr>
                <w:rFonts w:ascii="Arial" w:hAnsi="Arial" w:cs="Arial"/>
                <w:b/>
                <w:lang w:val="en-US"/>
              </w:rPr>
            </w:pPr>
            <w:r w:rsidRPr="001616AA">
              <w:rPr>
                <w:rFonts w:ascii="Arial" w:hAnsi="Arial" w:cs="Arial"/>
                <w:b/>
                <w:lang w:val="en-US"/>
              </w:rPr>
              <w:t>Reviewed by</w:t>
            </w:r>
          </w:p>
          <w:p w:rsidR="002B3D73" w:rsidRPr="001616AA" w:rsidRDefault="002B3D73" w:rsidP="002B3D73">
            <w:pPr>
              <w:pStyle w:val="Style"/>
              <w:widowControl/>
              <w:tabs>
                <w:tab w:val="left" w:pos="567"/>
                <w:tab w:val="left" w:pos="1134"/>
                <w:tab w:val="left" w:pos="1701"/>
                <w:tab w:val="left" w:pos="2268"/>
                <w:tab w:val="left" w:pos="2835"/>
              </w:tabs>
              <w:rPr>
                <w:rFonts w:ascii="Arial" w:hAnsi="Arial" w:cs="Arial"/>
                <w:b/>
                <w:lang w:val="en-US"/>
              </w:rPr>
            </w:pPr>
          </w:p>
        </w:tc>
        <w:tc>
          <w:tcPr>
            <w:tcW w:w="5801" w:type="dxa"/>
          </w:tcPr>
          <w:p w:rsidR="002B3D73" w:rsidRPr="002B3D73" w:rsidRDefault="002B3D73" w:rsidP="001616AA">
            <w:pPr>
              <w:pStyle w:val="Style"/>
              <w:widowControl/>
              <w:tabs>
                <w:tab w:val="left" w:pos="567"/>
                <w:tab w:val="left" w:pos="1134"/>
                <w:tab w:val="left" w:pos="1701"/>
                <w:tab w:val="left" w:pos="2268"/>
                <w:tab w:val="left" w:pos="2835"/>
              </w:tabs>
              <w:rPr>
                <w:rFonts w:ascii="Arial" w:hAnsi="Arial" w:cs="Arial"/>
                <w:lang w:val="en-US"/>
              </w:rPr>
            </w:pPr>
          </w:p>
        </w:tc>
      </w:tr>
      <w:tr w:rsidR="001616AA" w:rsidRPr="002B3D73" w:rsidTr="001616AA">
        <w:tc>
          <w:tcPr>
            <w:tcW w:w="3085" w:type="dxa"/>
          </w:tcPr>
          <w:p w:rsidR="001616AA" w:rsidRDefault="001616AA" w:rsidP="002B3D73">
            <w:pPr>
              <w:pStyle w:val="Style"/>
              <w:widowControl/>
              <w:tabs>
                <w:tab w:val="left" w:pos="567"/>
                <w:tab w:val="left" w:pos="1134"/>
                <w:tab w:val="left" w:pos="1701"/>
                <w:tab w:val="left" w:pos="2268"/>
                <w:tab w:val="left" w:pos="2835"/>
              </w:tabs>
              <w:rPr>
                <w:rFonts w:ascii="Arial" w:hAnsi="Arial" w:cs="Arial"/>
                <w:b/>
                <w:lang w:val="en-US"/>
              </w:rPr>
            </w:pPr>
            <w:r>
              <w:rPr>
                <w:rFonts w:ascii="Arial" w:hAnsi="Arial" w:cs="Arial"/>
                <w:b/>
                <w:lang w:val="en-US"/>
              </w:rPr>
              <w:t>Support/Co-review</w:t>
            </w:r>
          </w:p>
          <w:p w:rsidR="001616AA" w:rsidRPr="001616AA" w:rsidRDefault="001616AA" w:rsidP="002B3D73">
            <w:pPr>
              <w:pStyle w:val="Style"/>
              <w:widowControl/>
              <w:tabs>
                <w:tab w:val="left" w:pos="567"/>
                <w:tab w:val="left" w:pos="1134"/>
                <w:tab w:val="left" w:pos="1701"/>
                <w:tab w:val="left" w:pos="2268"/>
                <w:tab w:val="left" w:pos="2835"/>
              </w:tabs>
              <w:rPr>
                <w:rFonts w:ascii="Arial" w:hAnsi="Arial" w:cs="Arial"/>
                <w:b/>
                <w:lang w:val="en-US"/>
              </w:rPr>
            </w:pPr>
          </w:p>
        </w:tc>
        <w:tc>
          <w:tcPr>
            <w:tcW w:w="5801" w:type="dxa"/>
          </w:tcPr>
          <w:p w:rsidR="001616AA" w:rsidRPr="002B3D73" w:rsidRDefault="00C03CAC" w:rsidP="001616AA">
            <w:pPr>
              <w:pStyle w:val="Style"/>
              <w:widowControl/>
              <w:tabs>
                <w:tab w:val="left" w:pos="567"/>
                <w:tab w:val="left" w:pos="1134"/>
                <w:tab w:val="left" w:pos="1701"/>
                <w:tab w:val="left" w:pos="2268"/>
                <w:tab w:val="left" w:pos="2835"/>
              </w:tabs>
              <w:rPr>
                <w:rFonts w:ascii="Arial" w:hAnsi="Arial" w:cs="Arial"/>
                <w:lang w:val="en-US"/>
              </w:rPr>
            </w:pPr>
            <w:r>
              <w:rPr>
                <w:rFonts w:ascii="Arial" w:hAnsi="Arial" w:cs="Arial"/>
                <w:lang w:val="en-US"/>
              </w:rPr>
              <w:t>Sue Clements</w:t>
            </w:r>
          </w:p>
        </w:tc>
      </w:tr>
      <w:tr w:rsidR="00385FC7" w:rsidRPr="002B3D73" w:rsidTr="001616AA">
        <w:tc>
          <w:tcPr>
            <w:tcW w:w="3085" w:type="dxa"/>
          </w:tcPr>
          <w:p w:rsidR="002B3D73" w:rsidRPr="001616AA" w:rsidRDefault="002B3D73" w:rsidP="002B3D73">
            <w:pPr>
              <w:pStyle w:val="Style"/>
              <w:widowControl/>
              <w:tabs>
                <w:tab w:val="left" w:pos="567"/>
                <w:tab w:val="left" w:pos="1134"/>
                <w:tab w:val="left" w:pos="1701"/>
                <w:tab w:val="left" w:pos="2268"/>
                <w:tab w:val="left" w:pos="2835"/>
              </w:tabs>
              <w:rPr>
                <w:rFonts w:ascii="Arial" w:hAnsi="Arial" w:cs="Arial"/>
                <w:b/>
                <w:lang w:val="en-US"/>
              </w:rPr>
            </w:pPr>
            <w:r w:rsidRPr="001616AA">
              <w:rPr>
                <w:rFonts w:ascii="Arial" w:hAnsi="Arial" w:cs="Arial"/>
                <w:b/>
                <w:lang w:val="en-US"/>
              </w:rPr>
              <w:t xml:space="preserve">Date due for review </w:t>
            </w:r>
          </w:p>
          <w:p w:rsidR="002B3D73" w:rsidRPr="001616AA" w:rsidRDefault="002B3D73" w:rsidP="002B3D73">
            <w:pPr>
              <w:pStyle w:val="Style"/>
              <w:widowControl/>
              <w:tabs>
                <w:tab w:val="left" w:pos="567"/>
                <w:tab w:val="left" w:pos="1134"/>
                <w:tab w:val="left" w:pos="1701"/>
                <w:tab w:val="left" w:pos="2268"/>
                <w:tab w:val="left" w:pos="2835"/>
              </w:tabs>
              <w:rPr>
                <w:rFonts w:ascii="Arial" w:hAnsi="Arial" w:cs="Arial"/>
                <w:b/>
                <w:lang w:val="en-US"/>
              </w:rPr>
            </w:pPr>
          </w:p>
        </w:tc>
        <w:tc>
          <w:tcPr>
            <w:tcW w:w="5801" w:type="dxa"/>
          </w:tcPr>
          <w:p w:rsidR="002B3D73" w:rsidRPr="00AB5150" w:rsidRDefault="00AB5150" w:rsidP="00AB5150">
            <w:pPr>
              <w:pStyle w:val="Style"/>
              <w:widowControl/>
              <w:tabs>
                <w:tab w:val="left" w:pos="567"/>
                <w:tab w:val="left" w:pos="1134"/>
                <w:tab w:val="left" w:pos="1701"/>
                <w:tab w:val="left" w:pos="2268"/>
                <w:tab w:val="left" w:pos="2835"/>
              </w:tabs>
              <w:rPr>
                <w:rFonts w:ascii="Arial" w:hAnsi="Arial" w:cs="Arial"/>
                <w:color w:val="000000" w:themeColor="text1"/>
                <w:lang w:val="en-US"/>
              </w:rPr>
            </w:pPr>
            <w:r>
              <w:rPr>
                <w:rFonts w:ascii="Arial" w:hAnsi="Arial" w:cs="Arial"/>
                <w:color w:val="000000" w:themeColor="text1"/>
                <w:lang w:val="en-US"/>
              </w:rPr>
              <w:t>October</w:t>
            </w:r>
            <w:r w:rsidRPr="00AB5150">
              <w:rPr>
                <w:rFonts w:ascii="Arial" w:hAnsi="Arial" w:cs="Arial"/>
                <w:color w:val="000000" w:themeColor="text1"/>
                <w:lang w:val="en-US"/>
              </w:rPr>
              <w:t xml:space="preserve"> 2015</w:t>
            </w:r>
          </w:p>
        </w:tc>
      </w:tr>
    </w:tbl>
    <w:p w:rsidR="002B3D73" w:rsidRPr="002B3D73" w:rsidRDefault="002B3D73" w:rsidP="002B3D73">
      <w:pPr>
        <w:pStyle w:val="Style"/>
        <w:widowControl/>
        <w:tabs>
          <w:tab w:val="left" w:pos="567"/>
          <w:tab w:val="left" w:pos="1134"/>
          <w:tab w:val="left" w:pos="1701"/>
          <w:tab w:val="left" w:pos="2268"/>
          <w:tab w:val="left" w:pos="2835"/>
        </w:tabs>
        <w:jc w:val="center"/>
        <w:rPr>
          <w:rFonts w:ascii="Arial" w:hAnsi="Arial" w:cs="Arial"/>
          <w:sz w:val="20"/>
          <w:szCs w:val="16"/>
          <w:lang w:val="en-US"/>
        </w:rPr>
      </w:pPr>
    </w:p>
    <w:p w:rsidR="002B3D73" w:rsidRPr="002B3D73" w:rsidRDefault="002B3D73" w:rsidP="000E02C2">
      <w:pPr>
        <w:pStyle w:val="Style"/>
        <w:widowControl/>
        <w:tabs>
          <w:tab w:val="left" w:pos="567"/>
          <w:tab w:val="left" w:pos="1134"/>
          <w:tab w:val="left" w:pos="1701"/>
          <w:tab w:val="left" w:pos="2268"/>
          <w:tab w:val="left" w:pos="2835"/>
        </w:tabs>
        <w:ind w:right="897"/>
        <w:jc w:val="center"/>
        <w:rPr>
          <w:rFonts w:ascii="Arial" w:hAnsi="Arial" w:cs="Arial"/>
          <w:sz w:val="20"/>
          <w:szCs w:val="16"/>
          <w:lang w:val="en-US"/>
        </w:rPr>
      </w:pPr>
    </w:p>
    <w:p w:rsidR="00C03CAC" w:rsidRPr="00C03CAC" w:rsidRDefault="00AB5150" w:rsidP="00AB5150">
      <w:pPr>
        <w:pStyle w:val="Style"/>
        <w:widowControl/>
        <w:tabs>
          <w:tab w:val="left" w:pos="567"/>
          <w:tab w:val="left" w:pos="1134"/>
          <w:tab w:val="left" w:pos="1701"/>
          <w:tab w:val="left" w:pos="2268"/>
          <w:tab w:val="left" w:pos="2835"/>
        </w:tabs>
        <w:spacing w:after="120" w:line="360" w:lineRule="auto"/>
        <w:ind w:right="1181"/>
        <w:jc w:val="both"/>
        <w:rPr>
          <w:rFonts w:ascii="Arial" w:hAnsi="Arial" w:cs="Arial"/>
          <w:b/>
          <w:sz w:val="22"/>
          <w:szCs w:val="22"/>
          <w:lang w:val="en-US"/>
        </w:rPr>
      </w:pPr>
      <w:r>
        <w:rPr>
          <w:rFonts w:ascii="Arial" w:hAnsi="Arial" w:cs="Arial"/>
          <w:b/>
          <w:sz w:val="22"/>
          <w:szCs w:val="22"/>
          <w:lang w:val="en-US"/>
        </w:rPr>
        <w:t>1. Context</w:t>
      </w:r>
      <w:r w:rsidR="00C03CAC" w:rsidRPr="00C017D8">
        <w:rPr>
          <w:rFonts w:ascii="Georgia" w:hAnsi="Georgia"/>
          <w:b/>
        </w:rPr>
        <w:tab/>
      </w:r>
      <w:r w:rsidR="00C03CAC" w:rsidRPr="00C017D8">
        <w:rPr>
          <w:rFonts w:ascii="Georgia" w:hAnsi="Georgia"/>
          <w:b/>
        </w:rPr>
        <w:tab/>
      </w:r>
      <w:r w:rsidR="00C03CAC" w:rsidRPr="00C017D8">
        <w:rPr>
          <w:rFonts w:ascii="Georgia" w:hAnsi="Georgia"/>
          <w:b/>
        </w:rPr>
        <w:tab/>
      </w:r>
    </w:p>
    <w:p w:rsidR="00AB5150" w:rsidRPr="00AB5150" w:rsidRDefault="00AB5150" w:rsidP="00AB5150">
      <w:pPr>
        <w:ind w:right="1181"/>
        <w:rPr>
          <w:rFonts w:ascii="Arial" w:hAnsi="Arial" w:cs="Arial"/>
        </w:rPr>
      </w:pPr>
    </w:p>
    <w:p w:rsidR="00AB5150" w:rsidRPr="00AB5150" w:rsidRDefault="00AB5150" w:rsidP="00AB5150">
      <w:pPr>
        <w:ind w:right="1181"/>
        <w:jc w:val="both"/>
        <w:rPr>
          <w:rFonts w:ascii="Arial" w:hAnsi="Arial" w:cs="Arial"/>
        </w:rPr>
      </w:pPr>
      <w:r w:rsidRPr="00AB5150">
        <w:rPr>
          <w:rFonts w:ascii="Arial" w:hAnsi="Arial" w:cs="Arial"/>
        </w:rPr>
        <w:t>The Foundation provides affordable counselling for those over 18 years of age.</w:t>
      </w:r>
    </w:p>
    <w:p w:rsidR="00AB5150" w:rsidRPr="00AB5150" w:rsidRDefault="00AB5150" w:rsidP="00AB5150">
      <w:pPr>
        <w:ind w:right="1181"/>
        <w:jc w:val="both"/>
        <w:rPr>
          <w:rFonts w:ascii="Arial" w:hAnsi="Arial" w:cs="Arial"/>
        </w:rPr>
      </w:pPr>
      <w:r w:rsidRPr="00AB5150">
        <w:rPr>
          <w:rFonts w:ascii="Arial" w:hAnsi="Arial" w:cs="Arial"/>
        </w:rPr>
        <w:t xml:space="preserve">We recognised the challenge in reaching our target population at the Executive Away Day on 31 October 2014 and undertook to review this annually with a view to addressing, within our means, any issue preventing people from accessing our service. </w:t>
      </w:r>
    </w:p>
    <w:p w:rsidR="00AB5150" w:rsidRPr="00AB5150" w:rsidRDefault="00AB5150" w:rsidP="00AB5150">
      <w:pPr>
        <w:ind w:right="1181"/>
        <w:rPr>
          <w:rFonts w:ascii="Arial" w:hAnsi="Arial" w:cs="Arial"/>
        </w:rPr>
      </w:pPr>
      <w:r w:rsidRPr="00AB5150">
        <w:rPr>
          <w:rFonts w:ascii="Arial" w:hAnsi="Arial" w:cs="Arial"/>
        </w:rPr>
        <w:t xml:space="preserve"> </w:t>
      </w:r>
    </w:p>
    <w:p w:rsidR="00AB5150" w:rsidRPr="00AB5150" w:rsidRDefault="00AB5150" w:rsidP="00AB5150">
      <w:pPr>
        <w:pStyle w:val="BodyText"/>
        <w:ind w:right="1181"/>
        <w:rPr>
          <w:rFonts w:cs="Arial"/>
          <w:sz w:val="24"/>
          <w:szCs w:val="24"/>
        </w:rPr>
      </w:pPr>
      <w:r w:rsidRPr="00AB5150">
        <w:rPr>
          <w:rFonts w:cs="Arial"/>
          <w:sz w:val="24"/>
          <w:szCs w:val="24"/>
        </w:rPr>
        <w:t xml:space="preserve">Accessibility limitations addressed were: </w:t>
      </w:r>
    </w:p>
    <w:p w:rsidR="00AB5150" w:rsidRPr="00AB5150" w:rsidRDefault="00AB5150" w:rsidP="00AB5150">
      <w:pPr>
        <w:pStyle w:val="BodyText"/>
        <w:numPr>
          <w:ilvl w:val="0"/>
          <w:numId w:val="20"/>
        </w:numPr>
        <w:ind w:right="1181"/>
        <w:rPr>
          <w:rFonts w:cs="Arial"/>
          <w:sz w:val="24"/>
          <w:szCs w:val="24"/>
        </w:rPr>
      </w:pPr>
      <w:r w:rsidRPr="00AB5150">
        <w:rPr>
          <w:rFonts w:cs="Arial"/>
          <w:sz w:val="24"/>
          <w:szCs w:val="24"/>
        </w:rPr>
        <w:t>Cultural inclusivity</w:t>
      </w:r>
    </w:p>
    <w:p w:rsidR="00AB5150" w:rsidRPr="00AB5150" w:rsidRDefault="00AB5150" w:rsidP="00AB5150">
      <w:pPr>
        <w:pStyle w:val="BodyText"/>
        <w:numPr>
          <w:ilvl w:val="0"/>
          <w:numId w:val="20"/>
        </w:numPr>
        <w:ind w:right="1181"/>
        <w:rPr>
          <w:rFonts w:cs="Arial"/>
          <w:sz w:val="24"/>
          <w:szCs w:val="24"/>
        </w:rPr>
      </w:pPr>
      <w:r w:rsidRPr="00AB5150">
        <w:rPr>
          <w:rFonts w:cs="Arial"/>
          <w:sz w:val="24"/>
          <w:szCs w:val="24"/>
        </w:rPr>
        <w:t>Car parking</w:t>
      </w:r>
    </w:p>
    <w:p w:rsidR="00AB5150" w:rsidRPr="00AB5150" w:rsidRDefault="00AB5150" w:rsidP="00AB5150">
      <w:pPr>
        <w:pStyle w:val="BodyText"/>
        <w:numPr>
          <w:ilvl w:val="0"/>
          <w:numId w:val="20"/>
        </w:numPr>
        <w:ind w:right="1181"/>
        <w:rPr>
          <w:rFonts w:cs="Arial"/>
          <w:sz w:val="24"/>
          <w:szCs w:val="24"/>
        </w:rPr>
      </w:pPr>
      <w:r w:rsidRPr="00AB5150">
        <w:rPr>
          <w:rFonts w:cs="Arial"/>
          <w:sz w:val="24"/>
          <w:szCs w:val="24"/>
        </w:rPr>
        <w:t>Finance</w:t>
      </w:r>
    </w:p>
    <w:p w:rsidR="00AB5150" w:rsidRPr="00AB5150" w:rsidRDefault="00AB5150" w:rsidP="00AB5150">
      <w:pPr>
        <w:pStyle w:val="BodyText"/>
        <w:numPr>
          <w:ilvl w:val="0"/>
          <w:numId w:val="20"/>
        </w:numPr>
        <w:ind w:right="1181"/>
        <w:rPr>
          <w:rFonts w:cs="Arial"/>
          <w:sz w:val="24"/>
          <w:szCs w:val="24"/>
        </w:rPr>
      </w:pPr>
      <w:r w:rsidRPr="00AB5150">
        <w:rPr>
          <w:rFonts w:cs="Arial"/>
          <w:sz w:val="24"/>
          <w:szCs w:val="24"/>
        </w:rPr>
        <w:t>Physical disability (mobility, hearing, sight)</w:t>
      </w:r>
    </w:p>
    <w:p w:rsidR="00AB5150" w:rsidRPr="00AB5150" w:rsidRDefault="00AB5150" w:rsidP="00AB5150">
      <w:pPr>
        <w:pStyle w:val="BodyText"/>
        <w:numPr>
          <w:ilvl w:val="0"/>
          <w:numId w:val="20"/>
        </w:numPr>
        <w:ind w:right="1181"/>
        <w:rPr>
          <w:rFonts w:cs="Arial"/>
          <w:sz w:val="24"/>
          <w:szCs w:val="24"/>
        </w:rPr>
      </w:pPr>
      <w:r w:rsidRPr="00AB5150">
        <w:rPr>
          <w:rFonts w:cs="Arial"/>
          <w:sz w:val="24"/>
          <w:szCs w:val="24"/>
        </w:rPr>
        <w:t>Waiting area for carers/divers</w:t>
      </w:r>
    </w:p>
    <w:p w:rsidR="00AB5150" w:rsidRPr="00AB5150" w:rsidRDefault="00AB5150" w:rsidP="00AB5150">
      <w:pPr>
        <w:numPr>
          <w:ilvl w:val="0"/>
          <w:numId w:val="20"/>
        </w:numPr>
        <w:ind w:right="1181"/>
        <w:rPr>
          <w:rFonts w:ascii="Arial" w:hAnsi="Arial" w:cs="Arial"/>
        </w:rPr>
      </w:pPr>
      <w:r w:rsidRPr="00AB5150">
        <w:rPr>
          <w:rFonts w:ascii="Arial" w:hAnsi="Arial" w:cs="Arial"/>
        </w:rPr>
        <w:t>Financial</w:t>
      </w:r>
    </w:p>
    <w:p w:rsidR="00AB5150" w:rsidRDefault="00AB5150" w:rsidP="00AB5150">
      <w:pPr>
        <w:ind w:right="1181"/>
        <w:rPr>
          <w:rFonts w:ascii="Arial" w:hAnsi="Arial" w:cs="Arial"/>
        </w:rPr>
      </w:pPr>
    </w:p>
    <w:p w:rsidR="00AB5150" w:rsidRPr="00AB5150" w:rsidRDefault="00AB5150" w:rsidP="00AB5150">
      <w:pPr>
        <w:ind w:right="1181"/>
        <w:rPr>
          <w:rFonts w:ascii="Arial" w:hAnsi="Arial" w:cs="Arial"/>
        </w:rPr>
      </w:pPr>
      <w:r>
        <w:rPr>
          <w:rFonts w:ascii="Arial" w:hAnsi="Arial" w:cs="Arial"/>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2"/>
        <w:gridCol w:w="4525"/>
      </w:tblGrid>
      <w:tr w:rsidR="00AB5150" w:rsidRPr="00AB5150" w:rsidTr="00AB5150">
        <w:tblPrEx>
          <w:tblCellMar>
            <w:top w:w="0" w:type="dxa"/>
            <w:bottom w:w="0" w:type="dxa"/>
          </w:tblCellMar>
        </w:tblPrEx>
        <w:tc>
          <w:tcPr>
            <w:tcW w:w="5222" w:type="dxa"/>
          </w:tcPr>
          <w:p w:rsidR="00AB5150" w:rsidRPr="00AB5150" w:rsidRDefault="00AB5150" w:rsidP="00AB5150">
            <w:pPr>
              <w:ind w:right="470"/>
              <w:rPr>
                <w:rFonts w:ascii="Arial" w:hAnsi="Arial" w:cs="Arial"/>
                <w:b/>
                <w:bCs/>
              </w:rPr>
            </w:pPr>
            <w:r w:rsidRPr="00AB5150">
              <w:rPr>
                <w:rFonts w:ascii="Arial" w:hAnsi="Arial" w:cs="Arial"/>
                <w:b/>
                <w:bCs/>
              </w:rPr>
              <w:t>Cultural Inclusivity</w:t>
            </w:r>
          </w:p>
        </w:tc>
        <w:tc>
          <w:tcPr>
            <w:tcW w:w="4525" w:type="dxa"/>
          </w:tcPr>
          <w:p w:rsidR="00AB5150" w:rsidRPr="00AB5150" w:rsidRDefault="00AB5150" w:rsidP="00AB5150">
            <w:pPr>
              <w:ind w:right="175"/>
              <w:rPr>
                <w:rFonts w:ascii="Arial" w:hAnsi="Arial" w:cs="Arial"/>
                <w:b/>
                <w:bCs/>
              </w:rPr>
            </w:pPr>
            <w:r w:rsidRPr="00AB5150">
              <w:rPr>
                <w:rFonts w:ascii="Arial" w:hAnsi="Arial" w:cs="Arial"/>
                <w:b/>
                <w:bCs/>
              </w:rPr>
              <w:t>Strategy</w:t>
            </w:r>
          </w:p>
        </w:tc>
      </w:tr>
      <w:tr w:rsidR="00AB5150" w:rsidRPr="00AB5150" w:rsidTr="00AB5150">
        <w:tblPrEx>
          <w:tblCellMar>
            <w:top w:w="0" w:type="dxa"/>
            <w:bottom w:w="0" w:type="dxa"/>
          </w:tblCellMar>
        </w:tblPrEx>
        <w:tc>
          <w:tcPr>
            <w:tcW w:w="5222" w:type="dxa"/>
          </w:tcPr>
          <w:p w:rsidR="00AB5150" w:rsidRPr="00AB5150" w:rsidRDefault="00AB5150" w:rsidP="00AB5150">
            <w:pPr>
              <w:ind w:right="470"/>
              <w:rPr>
                <w:rFonts w:ascii="Arial" w:hAnsi="Arial" w:cs="Arial"/>
              </w:rPr>
            </w:pPr>
            <w:r w:rsidRPr="00AB5150">
              <w:rPr>
                <w:rFonts w:ascii="Arial" w:hAnsi="Arial" w:cs="Arial"/>
              </w:rPr>
              <w:t xml:space="preserve">Supporting cultural diversity and cultural inclusion on our training courses and access to counselling. In particular we have large Muslim population centres, especially Luton. </w:t>
            </w:r>
          </w:p>
          <w:p w:rsidR="00AB5150" w:rsidRPr="00AB5150" w:rsidRDefault="00AB5150" w:rsidP="00AB5150">
            <w:pPr>
              <w:ind w:right="470"/>
              <w:rPr>
                <w:rFonts w:ascii="Arial" w:hAnsi="Arial" w:cs="Arial"/>
              </w:rPr>
            </w:pPr>
          </w:p>
        </w:tc>
        <w:tc>
          <w:tcPr>
            <w:tcW w:w="4525" w:type="dxa"/>
          </w:tcPr>
          <w:p w:rsidR="00AB5150" w:rsidRPr="00AB5150" w:rsidRDefault="00AB5150" w:rsidP="00AB5150">
            <w:pPr>
              <w:ind w:right="175"/>
              <w:rPr>
                <w:rFonts w:ascii="Arial" w:hAnsi="Arial" w:cs="Arial"/>
              </w:rPr>
            </w:pPr>
            <w:r w:rsidRPr="00AB5150">
              <w:rPr>
                <w:rFonts w:ascii="Arial" w:hAnsi="Arial" w:cs="Arial"/>
              </w:rPr>
              <w:t xml:space="preserve">We monitor ethic minority representation, and for example in our training centre reports 5.8% of </w:t>
            </w:r>
            <w:r>
              <w:rPr>
                <w:rFonts w:ascii="Arial" w:hAnsi="Arial" w:cs="Arial"/>
              </w:rPr>
              <w:t>s</w:t>
            </w:r>
            <w:r w:rsidRPr="00AB5150">
              <w:rPr>
                <w:rFonts w:ascii="Arial" w:hAnsi="Arial" w:cs="Arial"/>
              </w:rPr>
              <w:t>tudents as BME.</w:t>
            </w:r>
          </w:p>
          <w:p w:rsidR="00AB5150" w:rsidRPr="00AB5150" w:rsidRDefault="00AB5150" w:rsidP="00AB5150">
            <w:pPr>
              <w:ind w:right="175"/>
              <w:rPr>
                <w:rFonts w:ascii="Arial" w:hAnsi="Arial" w:cs="Arial"/>
              </w:rPr>
            </w:pPr>
            <w:r w:rsidRPr="00AB5150">
              <w:rPr>
                <w:rFonts w:ascii="Arial" w:hAnsi="Arial" w:cs="Arial"/>
              </w:rPr>
              <w:t>We seek and support trainees who are fluent in other languages. Clients who seek counselling in languages other than English are allocated accordingly to our bilingual counsellors where possible. Current language options include Polish, Serbian, Gujarati and Urdu. When we cannot meet the need, we signpost the client to another service for example Nyabingi in Luton.</w:t>
            </w:r>
            <w:r w:rsidRPr="00AB5150">
              <w:rPr>
                <w:rFonts w:ascii="Arial" w:hAnsi="Arial" w:cs="Arial"/>
                <w:color w:val="6E4118"/>
                <w:shd w:val="clear" w:color="auto" w:fill="FFCC33"/>
              </w:rPr>
              <w:t xml:space="preserve">   </w:t>
            </w:r>
          </w:p>
        </w:tc>
      </w:tr>
      <w:tr w:rsidR="00AB5150" w:rsidRPr="00AB5150" w:rsidTr="00AB5150">
        <w:tblPrEx>
          <w:tblCellMar>
            <w:top w:w="0" w:type="dxa"/>
            <w:bottom w:w="0" w:type="dxa"/>
          </w:tblCellMar>
        </w:tblPrEx>
        <w:tc>
          <w:tcPr>
            <w:tcW w:w="5222" w:type="dxa"/>
          </w:tcPr>
          <w:p w:rsidR="00AB5150" w:rsidRPr="00AB5150" w:rsidRDefault="00AB5150" w:rsidP="00AB5150">
            <w:pPr>
              <w:ind w:right="470"/>
              <w:rPr>
                <w:rFonts w:ascii="Arial" w:hAnsi="Arial" w:cs="Arial"/>
              </w:rPr>
            </w:pPr>
            <w:r w:rsidRPr="00AB5150">
              <w:rPr>
                <w:rFonts w:ascii="Arial" w:hAnsi="Arial" w:cs="Arial"/>
              </w:rPr>
              <w:t xml:space="preserve"> Lesbian, Gay, Bisexual and Trans-sexual community.</w:t>
            </w:r>
          </w:p>
        </w:tc>
        <w:tc>
          <w:tcPr>
            <w:tcW w:w="4525" w:type="dxa"/>
          </w:tcPr>
          <w:p w:rsidR="00AB5150" w:rsidRPr="00AB5150" w:rsidRDefault="00AB5150" w:rsidP="00AB5150">
            <w:pPr>
              <w:ind w:right="175"/>
              <w:rPr>
                <w:rFonts w:ascii="Arial" w:hAnsi="Arial" w:cs="Arial"/>
              </w:rPr>
            </w:pPr>
            <w:r w:rsidRPr="00AB5150">
              <w:rPr>
                <w:rFonts w:ascii="Arial" w:hAnsi="Arial" w:cs="Arial"/>
              </w:rPr>
              <w:t>Our staff and counsellors include LGB members. We have no reported complaints or of discrimination on these grounds. Dealing with diverse community is part of the induction and training. We continue to monitor feedback forms from our clients.</w:t>
            </w:r>
          </w:p>
        </w:tc>
      </w:tr>
      <w:tr w:rsidR="00AB5150" w:rsidRPr="00AB5150" w:rsidTr="00AB5150">
        <w:tblPrEx>
          <w:tblCellMar>
            <w:top w:w="0" w:type="dxa"/>
            <w:bottom w:w="0" w:type="dxa"/>
          </w:tblCellMar>
        </w:tblPrEx>
        <w:tc>
          <w:tcPr>
            <w:tcW w:w="5222" w:type="dxa"/>
          </w:tcPr>
          <w:p w:rsidR="00AB5150" w:rsidRPr="00AB5150" w:rsidRDefault="00AB5150" w:rsidP="00AB5150">
            <w:pPr>
              <w:ind w:right="470"/>
              <w:rPr>
                <w:rFonts w:ascii="Arial" w:hAnsi="Arial" w:cs="Arial"/>
              </w:rPr>
            </w:pPr>
            <w:r w:rsidRPr="00AB5150">
              <w:rPr>
                <w:rFonts w:ascii="Arial" w:hAnsi="Arial" w:cs="Arial"/>
              </w:rPr>
              <w:t>Gender: male students, counsellors and clients are under-represented in our cohort.</w:t>
            </w:r>
          </w:p>
        </w:tc>
        <w:tc>
          <w:tcPr>
            <w:tcW w:w="4525" w:type="dxa"/>
          </w:tcPr>
          <w:p w:rsidR="00AB5150" w:rsidRPr="00AB5150" w:rsidRDefault="00AB5150" w:rsidP="00AB5150">
            <w:pPr>
              <w:ind w:right="175"/>
              <w:rPr>
                <w:rFonts w:ascii="Arial" w:hAnsi="Arial" w:cs="Arial"/>
              </w:rPr>
            </w:pPr>
            <w:r w:rsidRPr="00AB5150">
              <w:rPr>
                <w:rFonts w:ascii="Arial" w:hAnsi="Arial" w:cs="Arial"/>
              </w:rPr>
              <w:t xml:space="preserve">We continue to encourage and support males, from advertising across a range of media which are selected to appeal to a broad cross section of our populations, for example selecting bus sides and train stations as a hub for our latest advertising campaign. </w:t>
            </w:r>
          </w:p>
          <w:p w:rsidR="00AB5150" w:rsidRPr="00AB5150" w:rsidRDefault="00AB5150" w:rsidP="00AB5150">
            <w:pPr>
              <w:ind w:right="175"/>
              <w:rPr>
                <w:rFonts w:ascii="Arial" w:hAnsi="Arial" w:cs="Arial"/>
              </w:rPr>
            </w:pPr>
          </w:p>
        </w:tc>
      </w:tr>
      <w:tr w:rsidR="00AB5150" w:rsidRPr="00AB5150" w:rsidTr="00AB5150">
        <w:tblPrEx>
          <w:tblCellMar>
            <w:top w:w="0" w:type="dxa"/>
            <w:bottom w:w="0" w:type="dxa"/>
          </w:tblCellMar>
        </w:tblPrEx>
        <w:tc>
          <w:tcPr>
            <w:tcW w:w="5222" w:type="dxa"/>
          </w:tcPr>
          <w:p w:rsidR="00AB5150" w:rsidRPr="00AB5150" w:rsidRDefault="00AB5150" w:rsidP="00AB5150">
            <w:pPr>
              <w:ind w:right="175"/>
              <w:rPr>
                <w:rFonts w:ascii="Arial" w:hAnsi="Arial" w:cs="Arial"/>
              </w:rPr>
            </w:pPr>
            <w:r w:rsidRPr="00AB5150">
              <w:rPr>
                <w:rFonts w:ascii="Arial" w:hAnsi="Arial" w:cs="Arial"/>
              </w:rPr>
              <w:t>Actions for the forthcoming period</w:t>
            </w:r>
          </w:p>
        </w:tc>
        <w:tc>
          <w:tcPr>
            <w:tcW w:w="4525" w:type="dxa"/>
          </w:tcPr>
          <w:p w:rsidR="00AB5150" w:rsidRPr="00AB5150" w:rsidRDefault="00AB5150" w:rsidP="00AB5150">
            <w:pPr>
              <w:ind w:right="175"/>
              <w:rPr>
                <w:rFonts w:ascii="Arial" w:hAnsi="Arial" w:cs="Arial"/>
              </w:rPr>
            </w:pPr>
            <w:r w:rsidRPr="00AB5150">
              <w:rPr>
                <w:rFonts w:ascii="Arial" w:hAnsi="Arial" w:cs="Arial"/>
              </w:rPr>
              <w:t xml:space="preserve">Ensure that our advertising for counselling courses continues to reach a diverse population. </w:t>
            </w:r>
          </w:p>
          <w:p w:rsidR="00AB5150" w:rsidRPr="00AB5150" w:rsidRDefault="00AB5150" w:rsidP="00AB5150">
            <w:pPr>
              <w:ind w:right="175"/>
              <w:rPr>
                <w:rFonts w:ascii="Arial" w:hAnsi="Arial" w:cs="Arial"/>
              </w:rPr>
            </w:pPr>
            <w:r w:rsidRPr="00AB5150">
              <w:rPr>
                <w:rFonts w:ascii="Arial" w:hAnsi="Arial" w:cs="Arial"/>
              </w:rPr>
              <w:t>Continue to use Facebook and Twitter feeds emphasise material that supports this. Eg, use of Men’s Sheds, studies of men needing counselling, LGBT and ethnicity issues.</w:t>
            </w:r>
          </w:p>
          <w:p w:rsidR="00AB5150" w:rsidRPr="00AB5150" w:rsidRDefault="00AB5150" w:rsidP="00AB5150">
            <w:pPr>
              <w:ind w:right="175"/>
              <w:rPr>
                <w:rFonts w:ascii="Arial" w:hAnsi="Arial" w:cs="Arial"/>
              </w:rPr>
            </w:pPr>
            <w:r w:rsidRPr="00AB5150">
              <w:rPr>
                <w:rFonts w:ascii="Arial" w:hAnsi="Arial" w:cs="Arial"/>
              </w:rPr>
              <w:t xml:space="preserve">Trustee recruitment will include a search for more ethnically balanced membership. </w:t>
            </w:r>
          </w:p>
        </w:tc>
      </w:tr>
    </w:tbl>
    <w:p w:rsidR="00AB5150" w:rsidRDefault="00AB5150" w:rsidP="00AB5150">
      <w:pPr>
        <w:ind w:right="175"/>
        <w:rPr>
          <w:rFonts w:ascii="Arial" w:hAnsi="Arial" w:cs="Arial"/>
        </w:rPr>
      </w:pPr>
    </w:p>
    <w:p w:rsidR="00AB5150" w:rsidRPr="00AB5150" w:rsidRDefault="00AB5150" w:rsidP="00AB5150">
      <w:pPr>
        <w:ind w:right="175"/>
        <w:rPr>
          <w:rFonts w:ascii="Arial" w:hAnsi="Arial" w:cs="Arial"/>
        </w:rPr>
      </w:pPr>
      <w:r>
        <w:rPr>
          <w:rFonts w:ascii="Arial" w:hAnsi="Arial" w:cs="Arial"/>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4"/>
        <w:gridCol w:w="4513"/>
      </w:tblGrid>
      <w:tr w:rsidR="00AB5150" w:rsidRPr="00AB5150" w:rsidTr="00AB5150">
        <w:tblPrEx>
          <w:tblCellMar>
            <w:top w:w="0" w:type="dxa"/>
            <w:bottom w:w="0" w:type="dxa"/>
          </w:tblCellMar>
        </w:tblPrEx>
        <w:tc>
          <w:tcPr>
            <w:tcW w:w="5234" w:type="dxa"/>
          </w:tcPr>
          <w:p w:rsidR="00AB5150" w:rsidRPr="00AB5150" w:rsidRDefault="00AB5150" w:rsidP="00AB5150">
            <w:pPr>
              <w:ind w:right="175"/>
              <w:rPr>
                <w:rFonts w:ascii="Arial" w:hAnsi="Arial" w:cs="Arial"/>
                <w:b/>
              </w:rPr>
            </w:pPr>
            <w:r w:rsidRPr="00AB5150">
              <w:rPr>
                <w:rFonts w:ascii="Arial" w:hAnsi="Arial" w:cs="Arial"/>
                <w:b/>
              </w:rPr>
              <w:t>Car Parking</w:t>
            </w:r>
          </w:p>
        </w:tc>
        <w:tc>
          <w:tcPr>
            <w:tcW w:w="4513" w:type="dxa"/>
          </w:tcPr>
          <w:p w:rsidR="00AB5150" w:rsidRPr="00AB5150" w:rsidRDefault="00AB5150" w:rsidP="00AB5150">
            <w:pPr>
              <w:ind w:right="175"/>
              <w:rPr>
                <w:rFonts w:ascii="Arial" w:hAnsi="Arial" w:cs="Arial"/>
                <w:b/>
              </w:rPr>
            </w:pPr>
            <w:r w:rsidRPr="00AB5150">
              <w:rPr>
                <w:rFonts w:ascii="Arial" w:hAnsi="Arial" w:cs="Arial"/>
                <w:b/>
              </w:rPr>
              <w:t>Strategy</w:t>
            </w:r>
          </w:p>
        </w:tc>
      </w:tr>
      <w:tr w:rsidR="00AB5150" w:rsidRPr="00AB5150" w:rsidTr="00AB5150">
        <w:tblPrEx>
          <w:tblCellMar>
            <w:top w:w="0" w:type="dxa"/>
            <w:bottom w:w="0" w:type="dxa"/>
          </w:tblCellMar>
        </w:tblPrEx>
        <w:trPr>
          <w:trHeight w:val="1351"/>
        </w:trPr>
        <w:tc>
          <w:tcPr>
            <w:tcW w:w="5234" w:type="dxa"/>
          </w:tcPr>
          <w:p w:rsidR="00AB5150" w:rsidRPr="00AB5150" w:rsidRDefault="00AB5150" w:rsidP="00AB5150">
            <w:pPr>
              <w:ind w:right="175"/>
              <w:rPr>
                <w:rFonts w:ascii="Arial" w:hAnsi="Arial" w:cs="Arial"/>
              </w:rPr>
            </w:pPr>
            <w:r w:rsidRPr="00AB5150">
              <w:rPr>
                <w:rFonts w:ascii="Arial" w:hAnsi="Arial" w:cs="Arial"/>
              </w:rPr>
              <w:t xml:space="preserve">We recognise that there is limited car parking at the St Albans site for clients and staff.  </w:t>
            </w:r>
          </w:p>
          <w:p w:rsidR="00AB5150" w:rsidRPr="00AB5150" w:rsidRDefault="00AB5150" w:rsidP="00AB5150">
            <w:pPr>
              <w:ind w:right="175"/>
              <w:rPr>
                <w:rFonts w:ascii="Arial" w:hAnsi="Arial" w:cs="Arial"/>
              </w:rPr>
            </w:pPr>
          </w:p>
          <w:p w:rsidR="00AB5150" w:rsidRPr="00AB5150" w:rsidRDefault="00AB5150" w:rsidP="00AB5150">
            <w:pPr>
              <w:ind w:right="175"/>
              <w:rPr>
                <w:rFonts w:ascii="Arial" w:hAnsi="Arial" w:cs="Arial"/>
              </w:rPr>
            </w:pPr>
            <w:r w:rsidRPr="00AB5150">
              <w:rPr>
                <w:rFonts w:ascii="Arial" w:hAnsi="Arial" w:cs="Arial"/>
              </w:rPr>
              <w:t xml:space="preserve">All clients and trainees are directed to park off site and leave time to park.  </w:t>
            </w:r>
          </w:p>
          <w:p w:rsidR="00AB5150" w:rsidRPr="00AB5150" w:rsidRDefault="00AB5150" w:rsidP="00AB5150">
            <w:pPr>
              <w:ind w:right="175"/>
              <w:rPr>
                <w:rFonts w:ascii="Arial" w:hAnsi="Arial" w:cs="Arial"/>
              </w:rPr>
            </w:pPr>
          </w:p>
          <w:p w:rsidR="00AB5150" w:rsidRPr="00AB5150" w:rsidRDefault="00AB5150" w:rsidP="00AB5150">
            <w:pPr>
              <w:ind w:right="175"/>
              <w:rPr>
                <w:rFonts w:ascii="Arial" w:hAnsi="Arial" w:cs="Arial"/>
              </w:rPr>
            </w:pPr>
            <w:r w:rsidRPr="00AB5150">
              <w:rPr>
                <w:rFonts w:ascii="Arial" w:hAnsi="Arial" w:cs="Arial"/>
              </w:rPr>
              <w:t xml:space="preserve">Disabled clients are advised about nearest disabled parking. </w:t>
            </w:r>
          </w:p>
          <w:p w:rsidR="00AB5150" w:rsidRPr="00AB5150" w:rsidRDefault="00AB5150" w:rsidP="00AB5150">
            <w:pPr>
              <w:ind w:right="175"/>
              <w:rPr>
                <w:rFonts w:ascii="Arial" w:hAnsi="Arial" w:cs="Arial"/>
              </w:rPr>
            </w:pPr>
          </w:p>
          <w:p w:rsidR="00AB5150" w:rsidRPr="00AB5150" w:rsidRDefault="00AB5150" w:rsidP="00AB5150">
            <w:pPr>
              <w:ind w:right="175"/>
              <w:rPr>
                <w:rFonts w:ascii="Arial" w:hAnsi="Arial" w:cs="Arial"/>
              </w:rPr>
            </w:pPr>
            <w:r w:rsidRPr="00AB5150">
              <w:rPr>
                <w:rFonts w:ascii="Arial" w:hAnsi="Arial" w:cs="Arial"/>
              </w:rPr>
              <w:t>Other centres have street parking.</w:t>
            </w:r>
          </w:p>
        </w:tc>
        <w:tc>
          <w:tcPr>
            <w:tcW w:w="4513" w:type="dxa"/>
          </w:tcPr>
          <w:p w:rsidR="00AB5150" w:rsidRPr="00AB5150" w:rsidRDefault="00AB5150" w:rsidP="00AB5150">
            <w:pPr>
              <w:ind w:right="175"/>
              <w:rPr>
                <w:rFonts w:ascii="Arial" w:hAnsi="Arial" w:cs="Arial"/>
              </w:rPr>
            </w:pPr>
            <w:r w:rsidRPr="00AB5150">
              <w:rPr>
                <w:rFonts w:ascii="Arial" w:hAnsi="Arial" w:cs="Arial"/>
              </w:rPr>
              <w:t xml:space="preserve">Any new premises to have at least 6 car parking spaces and good street lighting. </w:t>
            </w:r>
          </w:p>
          <w:p w:rsidR="00AB5150" w:rsidRPr="00AB5150" w:rsidRDefault="00AB5150" w:rsidP="00AB5150">
            <w:pPr>
              <w:ind w:right="175"/>
              <w:rPr>
                <w:rFonts w:ascii="Arial" w:hAnsi="Arial" w:cs="Arial"/>
              </w:rPr>
            </w:pPr>
          </w:p>
          <w:p w:rsidR="00AB5150" w:rsidRPr="00AB5150" w:rsidRDefault="00AB5150" w:rsidP="00AB5150">
            <w:pPr>
              <w:ind w:right="175"/>
              <w:rPr>
                <w:rFonts w:ascii="Arial" w:hAnsi="Arial" w:cs="Arial"/>
              </w:rPr>
            </w:pPr>
            <w:r w:rsidRPr="00AB5150">
              <w:rPr>
                <w:rFonts w:ascii="Arial" w:hAnsi="Arial" w:cs="Arial"/>
              </w:rPr>
              <w:t>Any new premises to be accessible by public transport.</w:t>
            </w:r>
          </w:p>
          <w:p w:rsidR="00AB5150" w:rsidRPr="00AB5150" w:rsidRDefault="00AB5150" w:rsidP="00AB5150">
            <w:pPr>
              <w:ind w:right="175"/>
              <w:rPr>
                <w:rFonts w:ascii="Arial" w:hAnsi="Arial" w:cs="Arial"/>
              </w:rPr>
            </w:pPr>
          </w:p>
          <w:p w:rsidR="00AB5150" w:rsidRPr="00AB5150" w:rsidRDefault="00AB5150" w:rsidP="00AB5150">
            <w:pPr>
              <w:ind w:right="175"/>
              <w:rPr>
                <w:rFonts w:ascii="Arial" w:hAnsi="Arial" w:cs="Arial"/>
              </w:rPr>
            </w:pPr>
            <w:r w:rsidRPr="00AB5150">
              <w:rPr>
                <w:rFonts w:ascii="Arial" w:hAnsi="Arial" w:cs="Arial"/>
              </w:rPr>
              <w:t xml:space="preserve">Exterior lights to be checked weekly in winter. </w:t>
            </w:r>
          </w:p>
          <w:p w:rsidR="00AB5150" w:rsidRPr="00AB5150" w:rsidRDefault="00AB5150" w:rsidP="00AB5150">
            <w:pPr>
              <w:ind w:right="175"/>
              <w:rPr>
                <w:rFonts w:ascii="Arial" w:hAnsi="Arial" w:cs="Arial"/>
              </w:rPr>
            </w:pPr>
          </w:p>
          <w:p w:rsidR="00AB5150" w:rsidRPr="00AB5150" w:rsidRDefault="00AB5150" w:rsidP="00AB5150">
            <w:pPr>
              <w:ind w:right="175"/>
              <w:rPr>
                <w:rFonts w:ascii="Arial" w:hAnsi="Arial" w:cs="Arial"/>
              </w:rPr>
            </w:pPr>
          </w:p>
        </w:tc>
      </w:tr>
      <w:tr w:rsidR="00AB5150" w:rsidRPr="00AB5150" w:rsidTr="00AB5150">
        <w:tblPrEx>
          <w:tblCellMar>
            <w:top w:w="0" w:type="dxa"/>
            <w:bottom w:w="0" w:type="dxa"/>
          </w:tblCellMar>
        </w:tblPrEx>
        <w:trPr>
          <w:trHeight w:val="336"/>
        </w:trPr>
        <w:tc>
          <w:tcPr>
            <w:tcW w:w="5234" w:type="dxa"/>
          </w:tcPr>
          <w:p w:rsidR="00AB5150" w:rsidRPr="00AB5150" w:rsidRDefault="00AB5150" w:rsidP="00AB5150">
            <w:pPr>
              <w:ind w:right="175"/>
              <w:rPr>
                <w:rFonts w:ascii="Arial" w:hAnsi="Arial" w:cs="Arial"/>
                <w:b/>
              </w:rPr>
            </w:pPr>
            <w:r w:rsidRPr="00AB5150">
              <w:rPr>
                <w:rFonts w:ascii="Arial" w:hAnsi="Arial" w:cs="Arial"/>
                <w:b/>
              </w:rPr>
              <w:t>Waiting areas and crèche facilities</w:t>
            </w:r>
          </w:p>
        </w:tc>
        <w:tc>
          <w:tcPr>
            <w:tcW w:w="4513" w:type="dxa"/>
          </w:tcPr>
          <w:p w:rsidR="00AB5150" w:rsidRPr="00AB5150" w:rsidRDefault="00AB5150" w:rsidP="00AB5150">
            <w:pPr>
              <w:ind w:right="175"/>
              <w:rPr>
                <w:rFonts w:ascii="Arial" w:hAnsi="Arial" w:cs="Arial"/>
                <w:b/>
              </w:rPr>
            </w:pPr>
            <w:r w:rsidRPr="00AB5150">
              <w:rPr>
                <w:rFonts w:ascii="Arial" w:hAnsi="Arial" w:cs="Arial"/>
                <w:b/>
              </w:rPr>
              <w:t>Strategy</w:t>
            </w:r>
          </w:p>
        </w:tc>
      </w:tr>
      <w:tr w:rsidR="00AB5150" w:rsidRPr="00AB5150" w:rsidTr="00AB5150">
        <w:tblPrEx>
          <w:tblCellMar>
            <w:top w:w="0" w:type="dxa"/>
            <w:bottom w:w="0" w:type="dxa"/>
          </w:tblCellMar>
        </w:tblPrEx>
        <w:trPr>
          <w:trHeight w:val="1351"/>
        </w:trPr>
        <w:tc>
          <w:tcPr>
            <w:tcW w:w="5234" w:type="dxa"/>
          </w:tcPr>
          <w:p w:rsidR="00AB5150" w:rsidRPr="00AB5150" w:rsidRDefault="00AB5150" w:rsidP="00AB5150">
            <w:pPr>
              <w:ind w:right="175"/>
              <w:rPr>
                <w:rFonts w:ascii="Arial" w:hAnsi="Arial" w:cs="Arial"/>
              </w:rPr>
            </w:pPr>
            <w:r w:rsidRPr="00AB5150">
              <w:rPr>
                <w:rFonts w:ascii="Arial" w:hAnsi="Arial" w:cs="Arial"/>
              </w:rPr>
              <w:t xml:space="preserve">To improve the waiting area space in the centres; St Albans, Stevenage and Broxbourne </w:t>
            </w:r>
          </w:p>
        </w:tc>
        <w:tc>
          <w:tcPr>
            <w:tcW w:w="4513" w:type="dxa"/>
          </w:tcPr>
          <w:p w:rsidR="00AB5150" w:rsidRPr="00AB5150" w:rsidRDefault="00AB5150" w:rsidP="00AB5150">
            <w:pPr>
              <w:ind w:right="175"/>
              <w:rPr>
                <w:rFonts w:ascii="Arial" w:hAnsi="Arial" w:cs="Arial"/>
              </w:rPr>
            </w:pPr>
            <w:r w:rsidRPr="00AB5150">
              <w:rPr>
                <w:rFonts w:ascii="Arial" w:hAnsi="Arial" w:cs="Arial"/>
              </w:rPr>
              <w:t>Strategy; new centres planned for St Albans and Stevenage will have private waiting rooms. At Broxbourne, we are negotiating with council offices to provide a client waiting room. Clients to Broxbourne and Stevenage are currently advised to arrive on time, and that there is no waiting area for those who accompany them (but drivers of disabled are excepted where possible).</w:t>
            </w:r>
          </w:p>
          <w:p w:rsidR="00AB5150" w:rsidRPr="00AB5150" w:rsidRDefault="00AB5150" w:rsidP="00AB5150">
            <w:pPr>
              <w:ind w:right="175"/>
              <w:rPr>
                <w:rFonts w:ascii="Arial" w:hAnsi="Arial" w:cs="Arial"/>
              </w:rPr>
            </w:pPr>
            <w:r w:rsidRPr="00AB5150">
              <w:rPr>
                <w:rFonts w:ascii="Arial" w:hAnsi="Arial" w:cs="Arial"/>
              </w:rPr>
              <w:t>Clients are advised there are no crèche or other facilities for children (although newborns can accompany mothers when this is arranged).</w:t>
            </w:r>
          </w:p>
        </w:tc>
      </w:tr>
      <w:tr w:rsidR="00AB5150" w:rsidRPr="00AB5150" w:rsidTr="00AB5150">
        <w:tblPrEx>
          <w:tblCellMar>
            <w:top w:w="0" w:type="dxa"/>
            <w:bottom w:w="0" w:type="dxa"/>
          </w:tblCellMar>
        </w:tblPrEx>
        <w:tc>
          <w:tcPr>
            <w:tcW w:w="5234" w:type="dxa"/>
          </w:tcPr>
          <w:p w:rsidR="00AB5150" w:rsidRPr="00AB5150" w:rsidRDefault="00AB5150" w:rsidP="00AB5150">
            <w:pPr>
              <w:ind w:right="175"/>
              <w:rPr>
                <w:rFonts w:ascii="Arial" w:hAnsi="Arial" w:cs="Arial"/>
              </w:rPr>
            </w:pPr>
            <w:r w:rsidRPr="00AB5150">
              <w:rPr>
                <w:rFonts w:ascii="Arial" w:hAnsi="Arial" w:cs="Arial"/>
              </w:rPr>
              <w:t>Actions for the forthcoming period</w:t>
            </w:r>
          </w:p>
        </w:tc>
        <w:tc>
          <w:tcPr>
            <w:tcW w:w="4513" w:type="dxa"/>
          </w:tcPr>
          <w:p w:rsidR="00AB5150" w:rsidRPr="00AB5150" w:rsidRDefault="00AB5150" w:rsidP="00AB5150">
            <w:pPr>
              <w:ind w:right="175"/>
              <w:rPr>
                <w:rFonts w:ascii="Arial" w:hAnsi="Arial" w:cs="Arial"/>
              </w:rPr>
            </w:pPr>
            <w:r w:rsidRPr="00AB5150">
              <w:rPr>
                <w:rFonts w:ascii="Arial" w:hAnsi="Arial" w:cs="Arial"/>
              </w:rPr>
              <w:t>A review of property includes relocating any of the centres which are not easily or safely accessible.</w:t>
            </w:r>
          </w:p>
        </w:tc>
      </w:tr>
      <w:tr w:rsidR="00AB5150" w:rsidRPr="00AB5150" w:rsidTr="00AB5150">
        <w:tblPrEx>
          <w:tblCellMar>
            <w:top w:w="0" w:type="dxa"/>
            <w:bottom w:w="0" w:type="dxa"/>
          </w:tblCellMar>
        </w:tblPrEx>
        <w:tc>
          <w:tcPr>
            <w:tcW w:w="5234" w:type="dxa"/>
          </w:tcPr>
          <w:p w:rsidR="00AB5150" w:rsidRPr="00AB5150" w:rsidRDefault="00AB5150" w:rsidP="00AB5150">
            <w:pPr>
              <w:ind w:right="175"/>
              <w:rPr>
                <w:rFonts w:ascii="Arial" w:hAnsi="Arial" w:cs="Arial"/>
                <w:b/>
              </w:rPr>
            </w:pPr>
            <w:r w:rsidRPr="00AB5150">
              <w:rPr>
                <w:rFonts w:ascii="Arial" w:hAnsi="Arial" w:cs="Arial"/>
                <w:b/>
              </w:rPr>
              <w:t xml:space="preserve"> Finance</w:t>
            </w:r>
          </w:p>
        </w:tc>
        <w:tc>
          <w:tcPr>
            <w:tcW w:w="4513" w:type="dxa"/>
          </w:tcPr>
          <w:p w:rsidR="00AB5150" w:rsidRPr="00AB5150" w:rsidRDefault="00AB5150" w:rsidP="00AB5150">
            <w:pPr>
              <w:ind w:right="175"/>
              <w:rPr>
                <w:rFonts w:ascii="Arial" w:hAnsi="Arial" w:cs="Arial"/>
                <w:b/>
              </w:rPr>
            </w:pPr>
            <w:r w:rsidRPr="00AB5150">
              <w:rPr>
                <w:rFonts w:ascii="Arial" w:hAnsi="Arial" w:cs="Arial"/>
                <w:b/>
              </w:rPr>
              <w:t>Strategy</w:t>
            </w:r>
          </w:p>
        </w:tc>
      </w:tr>
      <w:tr w:rsidR="00AB5150" w:rsidRPr="00AB5150" w:rsidTr="00AB5150">
        <w:tblPrEx>
          <w:tblCellMar>
            <w:top w:w="0" w:type="dxa"/>
            <w:bottom w:w="0" w:type="dxa"/>
          </w:tblCellMar>
        </w:tblPrEx>
        <w:tc>
          <w:tcPr>
            <w:tcW w:w="5234" w:type="dxa"/>
          </w:tcPr>
          <w:p w:rsidR="00AB5150" w:rsidRPr="00AB5150" w:rsidRDefault="00AB5150" w:rsidP="00AB5150">
            <w:pPr>
              <w:ind w:right="175"/>
              <w:rPr>
                <w:rFonts w:ascii="Arial" w:hAnsi="Arial" w:cs="Arial"/>
              </w:rPr>
            </w:pPr>
            <w:r w:rsidRPr="00AB5150">
              <w:rPr>
                <w:rFonts w:ascii="Arial" w:hAnsi="Arial" w:cs="Arial"/>
              </w:rPr>
              <w:t xml:space="preserve">We offer affordable, but not free, open ended counselling. This is a barrier to some of our target group. </w:t>
            </w:r>
          </w:p>
        </w:tc>
        <w:tc>
          <w:tcPr>
            <w:tcW w:w="4513" w:type="dxa"/>
          </w:tcPr>
          <w:p w:rsidR="00AB5150" w:rsidRPr="00AB5150" w:rsidRDefault="00AB5150" w:rsidP="00AB5150">
            <w:pPr>
              <w:ind w:right="175"/>
              <w:rPr>
                <w:rFonts w:ascii="Arial" w:hAnsi="Arial" w:cs="Arial"/>
              </w:rPr>
            </w:pPr>
            <w:r w:rsidRPr="00AB5150">
              <w:rPr>
                <w:rFonts w:ascii="Arial" w:hAnsi="Arial" w:cs="Arial"/>
              </w:rPr>
              <w:t xml:space="preserve"> The Foundation will continue to seek grants that will support counselling or offer free time-limited sessions.</w:t>
            </w:r>
          </w:p>
          <w:p w:rsidR="00AB5150" w:rsidRPr="00AB5150" w:rsidRDefault="00AB5150" w:rsidP="00AB5150">
            <w:pPr>
              <w:ind w:right="175"/>
              <w:rPr>
                <w:rFonts w:ascii="Arial" w:hAnsi="Arial" w:cs="Arial"/>
              </w:rPr>
            </w:pPr>
            <w:r w:rsidRPr="00AB5150">
              <w:rPr>
                <w:rFonts w:ascii="Arial" w:hAnsi="Arial" w:cs="Arial"/>
              </w:rPr>
              <w:t xml:space="preserve">.We will continue to offer 8 x £300 bursaries to students in training who might requires the funds due to financial hardship.  </w:t>
            </w:r>
          </w:p>
          <w:p w:rsidR="00AB5150" w:rsidRPr="00AB5150" w:rsidRDefault="00AB5150" w:rsidP="00AB5150">
            <w:pPr>
              <w:ind w:right="175"/>
              <w:rPr>
                <w:rFonts w:ascii="Arial" w:hAnsi="Arial" w:cs="Arial"/>
              </w:rPr>
            </w:pPr>
            <w:r w:rsidRPr="00AB5150">
              <w:rPr>
                <w:rFonts w:ascii="Arial" w:hAnsi="Arial" w:cs="Arial"/>
              </w:rPr>
              <w:t>. We continue to seek ways to reduce running costs in order to be able to increase subsidised counselling.</w:t>
            </w:r>
          </w:p>
        </w:tc>
      </w:tr>
    </w:tbl>
    <w:p w:rsidR="00AB5150" w:rsidRDefault="00AB5150" w:rsidP="00AB5150">
      <w:pPr>
        <w:ind w:right="175"/>
        <w:rPr>
          <w:rFonts w:ascii="Arial" w:hAnsi="Arial" w:cs="Arial"/>
        </w:rPr>
      </w:pPr>
    </w:p>
    <w:p w:rsidR="00AB5150" w:rsidRPr="00AB5150" w:rsidRDefault="00AB5150" w:rsidP="00AB5150">
      <w:pPr>
        <w:ind w:right="175"/>
        <w:rPr>
          <w:rFonts w:ascii="Arial" w:hAnsi="Arial" w:cs="Arial"/>
        </w:rPr>
      </w:pPr>
      <w:r>
        <w:rPr>
          <w:rFonts w:ascii="Arial" w:hAnsi="Arial" w:cs="Arial"/>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7"/>
        <w:gridCol w:w="4540"/>
      </w:tblGrid>
      <w:tr w:rsidR="00AB5150" w:rsidRPr="00AB5150" w:rsidTr="00AB5150">
        <w:tblPrEx>
          <w:tblCellMar>
            <w:top w:w="0" w:type="dxa"/>
            <w:bottom w:w="0" w:type="dxa"/>
          </w:tblCellMar>
        </w:tblPrEx>
        <w:tc>
          <w:tcPr>
            <w:tcW w:w="5207" w:type="dxa"/>
          </w:tcPr>
          <w:p w:rsidR="00AB5150" w:rsidRPr="00AB5150" w:rsidRDefault="00AB5150" w:rsidP="00AB5150">
            <w:pPr>
              <w:ind w:right="175"/>
              <w:rPr>
                <w:rFonts w:ascii="Arial" w:hAnsi="Arial" w:cs="Arial"/>
                <w:b/>
              </w:rPr>
            </w:pPr>
            <w:r w:rsidRPr="00AB5150">
              <w:rPr>
                <w:rFonts w:ascii="Arial" w:hAnsi="Arial" w:cs="Arial"/>
                <w:b/>
              </w:rPr>
              <w:t>Disability</w:t>
            </w:r>
          </w:p>
        </w:tc>
        <w:tc>
          <w:tcPr>
            <w:tcW w:w="4540" w:type="dxa"/>
          </w:tcPr>
          <w:p w:rsidR="00AB5150" w:rsidRPr="00AB5150" w:rsidRDefault="00AB5150" w:rsidP="00AB5150">
            <w:pPr>
              <w:ind w:right="175"/>
              <w:rPr>
                <w:rFonts w:ascii="Arial" w:hAnsi="Arial" w:cs="Arial"/>
                <w:b/>
              </w:rPr>
            </w:pPr>
            <w:r w:rsidRPr="00AB5150">
              <w:rPr>
                <w:rFonts w:ascii="Arial" w:hAnsi="Arial" w:cs="Arial"/>
                <w:b/>
              </w:rPr>
              <w:t>Strategy</w:t>
            </w:r>
          </w:p>
        </w:tc>
      </w:tr>
      <w:tr w:rsidR="00AB5150" w:rsidRPr="00AB5150" w:rsidTr="00AB5150">
        <w:tblPrEx>
          <w:tblCellMar>
            <w:top w:w="0" w:type="dxa"/>
            <w:bottom w:w="0" w:type="dxa"/>
          </w:tblCellMar>
        </w:tblPrEx>
        <w:tc>
          <w:tcPr>
            <w:tcW w:w="5207" w:type="dxa"/>
          </w:tcPr>
          <w:p w:rsidR="00AB5150" w:rsidRPr="00AB5150" w:rsidRDefault="00AB5150" w:rsidP="00AB5150">
            <w:pPr>
              <w:ind w:right="175"/>
              <w:rPr>
                <w:rFonts w:ascii="Arial" w:hAnsi="Arial" w:cs="Arial"/>
              </w:rPr>
            </w:pPr>
            <w:r w:rsidRPr="00AB5150">
              <w:rPr>
                <w:rFonts w:ascii="Arial" w:hAnsi="Arial" w:cs="Arial"/>
              </w:rPr>
              <w:t xml:space="preserve"> Mobility impaired</w:t>
            </w:r>
          </w:p>
          <w:p w:rsidR="00AB5150" w:rsidRPr="00AB5150" w:rsidRDefault="00AB5150" w:rsidP="00AB5150">
            <w:pPr>
              <w:ind w:right="175"/>
              <w:rPr>
                <w:rFonts w:ascii="Arial" w:hAnsi="Arial" w:cs="Arial"/>
              </w:rPr>
            </w:pPr>
            <w:r w:rsidRPr="00AB5150">
              <w:rPr>
                <w:rFonts w:ascii="Arial" w:hAnsi="Arial" w:cs="Arial"/>
              </w:rPr>
              <w:t xml:space="preserve">Counselling rooms for people with mobility impairment are offered at all centres, whether in the centre itself or hired at a nearby venue. </w:t>
            </w:r>
          </w:p>
          <w:p w:rsidR="00AB5150" w:rsidRPr="00AB5150" w:rsidRDefault="00AB5150" w:rsidP="00AB5150">
            <w:pPr>
              <w:ind w:right="175"/>
              <w:rPr>
                <w:rFonts w:ascii="Arial" w:hAnsi="Arial" w:cs="Arial"/>
              </w:rPr>
            </w:pPr>
            <w:r w:rsidRPr="00AB5150">
              <w:rPr>
                <w:rFonts w:ascii="Arial" w:hAnsi="Arial" w:cs="Arial"/>
              </w:rPr>
              <w:t>St Albans: Handrails, riser chairs and ground floor rooms are offered to those who cannot manage stairs.</w:t>
            </w:r>
          </w:p>
          <w:p w:rsidR="00AB5150" w:rsidRPr="00AB5150" w:rsidRDefault="00AB5150" w:rsidP="00AB5150">
            <w:pPr>
              <w:ind w:right="175"/>
              <w:rPr>
                <w:rFonts w:ascii="Arial" w:hAnsi="Arial" w:cs="Arial"/>
              </w:rPr>
            </w:pPr>
            <w:r w:rsidRPr="00AB5150">
              <w:rPr>
                <w:rFonts w:ascii="Arial" w:hAnsi="Arial" w:cs="Arial"/>
              </w:rPr>
              <w:t xml:space="preserve"> </w:t>
            </w:r>
          </w:p>
          <w:p w:rsidR="00AB5150" w:rsidRPr="00AB5150" w:rsidRDefault="00AB5150" w:rsidP="00AB5150">
            <w:pPr>
              <w:ind w:right="175"/>
              <w:rPr>
                <w:rFonts w:ascii="Arial" w:hAnsi="Arial" w:cs="Arial"/>
              </w:rPr>
            </w:pPr>
          </w:p>
        </w:tc>
        <w:tc>
          <w:tcPr>
            <w:tcW w:w="4540" w:type="dxa"/>
          </w:tcPr>
          <w:p w:rsidR="00AB5150" w:rsidRPr="00AB5150" w:rsidRDefault="00AB5150" w:rsidP="00AB5150">
            <w:pPr>
              <w:ind w:right="175"/>
              <w:rPr>
                <w:rFonts w:ascii="Arial" w:hAnsi="Arial" w:cs="Arial"/>
              </w:rPr>
            </w:pPr>
            <w:r w:rsidRPr="00AB5150">
              <w:rPr>
                <w:rFonts w:ascii="Arial" w:hAnsi="Arial" w:cs="Arial"/>
              </w:rPr>
              <w:t xml:space="preserve"> Our Broxbourne, Ware, Luton, Bedford and Stevenage centres provide full access to disabled clients where there is mobility impairment.</w:t>
            </w:r>
          </w:p>
          <w:p w:rsidR="00AB5150" w:rsidRPr="00AB5150" w:rsidRDefault="00AB5150" w:rsidP="00AB5150">
            <w:pPr>
              <w:ind w:right="175"/>
              <w:rPr>
                <w:rFonts w:ascii="Arial" w:hAnsi="Arial" w:cs="Arial"/>
              </w:rPr>
            </w:pPr>
          </w:p>
          <w:p w:rsidR="00AB5150" w:rsidRPr="00AB5150" w:rsidRDefault="00AB5150" w:rsidP="00AB5150">
            <w:pPr>
              <w:ind w:right="175"/>
              <w:rPr>
                <w:rFonts w:ascii="Arial" w:hAnsi="Arial" w:cs="Arial"/>
              </w:rPr>
            </w:pPr>
            <w:r w:rsidRPr="00AB5150">
              <w:rPr>
                <w:rFonts w:ascii="Arial" w:hAnsi="Arial" w:cs="Arial"/>
              </w:rPr>
              <w:t xml:space="preserve">Our strategy in Stevenage is to find another site which will reduce the need for clients who are mobility impaired to take the lift to the 6th floor of a building. </w:t>
            </w:r>
          </w:p>
          <w:p w:rsidR="00AB5150" w:rsidRPr="00AB5150" w:rsidRDefault="00AB5150" w:rsidP="00AB5150">
            <w:pPr>
              <w:ind w:right="175"/>
              <w:rPr>
                <w:rFonts w:ascii="Arial" w:hAnsi="Arial" w:cs="Arial"/>
              </w:rPr>
            </w:pPr>
          </w:p>
          <w:p w:rsidR="00AB5150" w:rsidRPr="00AB5150" w:rsidRDefault="00AB5150" w:rsidP="00AB5150">
            <w:pPr>
              <w:ind w:right="175"/>
              <w:rPr>
                <w:rFonts w:ascii="Arial" w:hAnsi="Arial" w:cs="Arial"/>
              </w:rPr>
            </w:pPr>
            <w:r w:rsidRPr="00AB5150">
              <w:rPr>
                <w:rFonts w:ascii="Arial" w:hAnsi="Arial" w:cs="Arial"/>
              </w:rPr>
              <w:t xml:space="preserve">At St Albans we use the St Albans Baptist Church for clients who are mobility impaired, so that our counselling operation in St Albans is accessible to all. Our strategy is to find new counselling premises in St Albans in 2015, which offers greater access to all clients. </w:t>
            </w:r>
          </w:p>
          <w:p w:rsidR="00AB5150" w:rsidRPr="00AB5150" w:rsidRDefault="00AB5150" w:rsidP="00AB5150">
            <w:pPr>
              <w:ind w:right="175"/>
              <w:rPr>
                <w:rFonts w:ascii="Arial" w:hAnsi="Arial" w:cs="Arial"/>
              </w:rPr>
            </w:pPr>
            <w:r w:rsidRPr="00AB5150">
              <w:rPr>
                <w:rFonts w:ascii="Arial" w:hAnsi="Arial" w:cs="Arial"/>
              </w:rPr>
              <w:t xml:space="preserve">All centres to sweep and grit access areas after snowfalls. </w:t>
            </w:r>
          </w:p>
        </w:tc>
      </w:tr>
      <w:tr w:rsidR="00AB5150" w:rsidRPr="00AB5150" w:rsidTr="00AB5150">
        <w:tblPrEx>
          <w:tblCellMar>
            <w:top w:w="0" w:type="dxa"/>
            <w:bottom w:w="0" w:type="dxa"/>
          </w:tblCellMar>
        </w:tblPrEx>
        <w:tc>
          <w:tcPr>
            <w:tcW w:w="5207" w:type="dxa"/>
          </w:tcPr>
          <w:p w:rsidR="00AB5150" w:rsidRPr="00AB5150" w:rsidRDefault="00AB5150" w:rsidP="00AB5150">
            <w:pPr>
              <w:ind w:right="175"/>
              <w:rPr>
                <w:rFonts w:ascii="Arial" w:hAnsi="Arial" w:cs="Arial"/>
              </w:rPr>
            </w:pPr>
            <w:r w:rsidRPr="00AB5150">
              <w:rPr>
                <w:rFonts w:ascii="Arial" w:hAnsi="Arial" w:cs="Arial"/>
              </w:rPr>
              <w:t>Sight impaired</w:t>
            </w:r>
          </w:p>
          <w:p w:rsidR="00AB5150" w:rsidRPr="00AB5150" w:rsidRDefault="00AB5150" w:rsidP="00AB5150">
            <w:pPr>
              <w:ind w:right="175"/>
              <w:rPr>
                <w:rFonts w:ascii="Arial" w:hAnsi="Arial" w:cs="Arial"/>
              </w:rPr>
            </w:pPr>
            <w:r w:rsidRPr="00AB5150">
              <w:rPr>
                <w:rFonts w:ascii="Arial" w:hAnsi="Arial" w:cs="Arial"/>
              </w:rPr>
              <w:t>Blind or partially sighted clients are communicated with in preferred method ie phone, large print and scribe for forms. We do not have Braille forms.</w:t>
            </w:r>
          </w:p>
        </w:tc>
        <w:tc>
          <w:tcPr>
            <w:tcW w:w="4540" w:type="dxa"/>
          </w:tcPr>
          <w:p w:rsidR="00AB5150" w:rsidRPr="00AB5150" w:rsidRDefault="00AB5150" w:rsidP="00AB5150">
            <w:pPr>
              <w:ind w:right="175"/>
              <w:rPr>
                <w:rFonts w:ascii="Arial" w:hAnsi="Arial" w:cs="Arial"/>
              </w:rPr>
            </w:pPr>
            <w:r w:rsidRPr="00AB5150">
              <w:rPr>
                <w:rFonts w:ascii="Arial" w:hAnsi="Arial" w:cs="Arial"/>
              </w:rPr>
              <w:t xml:space="preserve">Lighting inside and outside buildings is constantly checked. </w:t>
            </w:r>
          </w:p>
          <w:p w:rsidR="00AB5150" w:rsidRPr="00AB5150" w:rsidRDefault="00AB5150" w:rsidP="00AB5150">
            <w:pPr>
              <w:ind w:right="175"/>
              <w:rPr>
                <w:rFonts w:ascii="Arial" w:hAnsi="Arial" w:cs="Arial"/>
              </w:rPr>
            </w:pPr>
            <w:r w:rsidRPr="00AB5150">
              <w:rPr>
                <w:rFonts w:ascii="Arial" w:hAnsi="Arial" w:cs="Arial"/>
              </w:rPr>
              <w:t xml:space="preserve">H&amp;S check to include monitoring lighting and trip hazards.  </w:t>
            </w:r>
          </w:p>
        </w:tc>
      </w:tr>
      <w:tr w:rsidR="00AB5150" w:rsidRPr="00AB5150" w:rsidTr="00AB5150">
        <w:tblPrEx>
          <w:tblCellMar>
            <w:top w:w="0" w:type="dxa"/>
            <w:bottom w:w="0" w:type="dxa"/>
          </w:tblCellMar>
        </w:tblPrEx>
        <w:tc>
          <w:tcPr>
            <w:tcW w:w="5207" w:type="dxa"/>
          </w:tcPr>
          <w:p w:rsidR="00AB5150" w:rsidRPr="00AB5150" w:rsidRDefault="00AB5150" w:rsidP="00AB5150">
            <w:pPr>
              <w:ind w:right="175"/>
              <w:rPr>
                <w:rFonts w:ascii="Arial" w:hAnsi="Arial" w:cs="Arial"/>
              </w:rPr>
            </w:pPr>
            <w:r w:rsidRPr="00AB5150">
              <w:rPr>
                <w:rFonts w:ascii="Arial" w:hAnsi="Arial" w:cs="Arial"/>
              </w:rPr>
              <w:t>Hearing impaired</w:t>
            </w:r>
          </w:p>
          <w:p w:rsidR="00AB5150" w:rsidRPr="00AB5150" w:rsidRDefault="00AB5150" w:rsidP="00AB5150">
            <w:pPr>
              <w:ind w:right="175"/>
              <w:rPr>
                <w:rFonts w:ascii="Arial" w:hAnsi="Arial" w:cs="Arial"/>
              </w:rPr>
            </w:pPr>
            <w:r w:rsidRPr="00AB5150">
              <w:rPr>
                <w:rFonts w:ascii="Arial" w:hAnsi="Arial" w:cs="Arial"/>
              </w:rPr>
              <w:t>We are not able to provide signing interpreters but can refer deaf clients to appropriate services. Hard of hearing clients are offered preferred means of communication with administrators, ie text or email. Hearing loop available in St Albans Centre.</w:t>
            </w:r>
          </w:p>
        </w:tc>
        <w:tc>
          <w:tcPr>
            <w:tcW w:w="4540" w:type="dxa"/>
          </w:tcPr>
          <w:p w:rsidR="00AB5150" w:rsidRPr="00AB5150" w:rsidRDefault="00AB5150" w:rsidP="00AB5150">
            <w:pPr>
              <w:ind w:right="175"/>
              <w:rPr>
                <w:rFonts w:ascii="Arial" w:hAnsi="Arial" w:cs="Arial"/>
              </w:rPr>
            </w:pPr>
            <w:r w:rsidRPr="00AB5150">
              <w:rPr>
                <w:rFonts w:ascii="Arial" w:hAnsi="Arial" w:cs="Arial"/>
              </w:rPr>
              <w:t xml:space="preserve">The St Albans centre received a grant and implemented a hearing loop. </w:t>
            </w:r>
          </w:p>
          <w:p w:rsidR="00AB5150" w:rsidRPr="00AB5150" w:rsidRDefault="00AB5150" w:rsidP="00AB5150">
            <w:pPr>
              <w:ind w:right="175"/>
              <w:rPr>
                <w:rFonts w:ascii="Arial" w:hAnsi="Arial" w:cs="Arial"/>
              </w:rPr>
            </w:pPr>
            <w:r w:rsidRPr="00AB5150">
              <w:rPr>
                <w:rFonts w:ascii="Arial" w:hAnsi="Arial" w:cs="Arial"/>
              </w:rPr>
              <w:t xml:space="preserve"> The strategy is for the other centres during 2015 to seek grants of £3,000, to invest in hearing loops. We will continue to seek counsellors or trainees with signing skills but have noted they are rare nationally.</w:t>
            </w:r>
          </w:p>
        </w:tc>
      </w:tr>
      <w:tr w:rsidR="00AB5150" w:rsidRPr="00AB5150" w:rsidTr="00AB5150">
        <w:tblPrEx>
          <w:tblCellMar>
            <w:top w:w="0" w:type="dxa"/>
            <w:bottom w:w="0" w:type="dxa"/>
          </w:tblCellMar>
        </w:tblPrEx>
        <w:tc>
          <w:tcPr>
            <w:tcW w:w="5207" w:type="dxa"/>
          </w:tcPr>
          <w:p w:rsidR="00AB5150" w:rsidRPr="00AB5150" w:rsidRDefault="00AB5150" w:rsidP="00AB5150">
            <w:pPr>
              <w:ind w:right="175"/>
              <w:rPr>
                <w:rFonts w:ascii="Arial" w:hAnsi="Arial" w:cs="Arial"/>
              </w:rPr>
            </w:pPr>
            <w:r w:rsidRPr="00AB5150">
              <w:rPr>
                <w:rFonts w:ascii="Arial" w:hAnsi="Arial" w:cs="Arial"/>
              </w:rPr>
              <w:t>Supporting clients with learning difficulties</w:t>
            </w:r>
          </w:p>
          <w:p w:rsidR="00AB5150" w:rsidRPr="00AB5150" w:rsidRDefault="00AB5150" w:rsidP="00AB5150">
            <w:pPr>
              <w:ind w:right="175"/>
              <w:rPr>
                <w:rFonts w:ascii="Arial" w:hAnsi="Arial" w:cs="Arial"/>
              </w:rPr>
            </w:pPr>
            <w:r w:rsidRPr="00AB5150">
              <w:rPr>
                <w:rFonts w:ascii="Arial" w:hAnsi="Arial" w:cs="Arial"/>
              </w:rPr>
              <w:t>We regularly discuss ways to ensure our services are accessible to clients with specific learning disabilities, such as Aspergers Syndrome or ADHD. We aim to pick these up during the applicat</w:t>
            </w:r>
            <w:r>
              <w:rPr>
                <w:rFonts w:ascii="Arial" w:hAnsi="Arial" w:cs="Arial"/>
              </w:rPr>
              <w:t>ion and assessment process with</w:t>
            </w:r>
            <w:r w:rsidRPr="00AB5150">
              <w:rPr>
                <w:rFonts w:ascii="Arial" w:hAnsi="Arial" w:cs="Arial"/>
              </w:rPr>
              <w:t xml:space="preserve"> a view to providing them with a counsellor who can work with their abilities.</w:t>
            </w:r>
          </w:p>
        </w:tc>
        <w:tc>
          <w:tcPr>
            <w:tcW w:w="4540" w:type="dxa"/>
          </w:tcPr>
          <w:p w:rsidR="00AB5150" w:rsidRPr="00AB5150" w:rsidRDefault="00AB5150" w:rsidP="00AB5150">
            <w:pPr>
              <w:ind w:right="175"/>
              <w:rPr>
                <w:rFonts w:ascii="Arial" w:hAnsi="Arial" w:cs="Arial"/>
              </w:rPr>
            </w:pPr>
            <w:r w:rsidRPr="00AB5150">
              <w:rPr>
                <w:rFonts w:ascii="Arial" w:hAnsi="Arial" w:cs="Arial"/>
              </w:rPr>
              <w:t>To provide CPD classes in counselling people with learning disabilities/differences.</w:t>
            </w:r>
          </w:p>
          <w:p w:rsidR="00AB5150" w:rsidRPr="00AB5150" w:rsidRDefault="00AB5150" w:rsidP="00AB5150">
            <w:pPr>
              <w:ind w:right="175"/>
              <w:rPr>
                <w:rFonts w:ascii="Arial" w:hAnsi="Arial" w:cs="Arial"/>
              </w:rPr>
            </w:pPr>
            <w:r w:rsidRPr="00AB5150">
              <w:rPr>
                <w:rFonts w:ascii="Arial" w:hAnsi="Arial" w:cs="Arial"/>
              </w:rPr>
              <w:t>Highlight learning differences in application and assessment processes so ensure client is allocated to a counsellor trained or experienced in that disability.</w:t>
            </w:r>
          </w:p>
          <w:p w:rsidR="00AB5150" w:rsidRPr="00AB5150" w:rsidRDefault="00AB5150" w:rsidP="00AB5150">
            <w:pPr>
              <w:ind w:right="175"/>
              <w:rPr>
                <w:rFonts w:ascii="Arial" w:hAnsi="Arial" w:cs="Arial"/>
              </w:rPr>
            </w:pPr>
            <w:r w:rsidRPr="00AB5150">
              <w:rPr>
                <w:rFonts w:ascii="Arial" w:hAnsi="Arial" w:cs="Arial"/>
              </w:rPr>
              <w:t xml:space="preserve">Continue to build relationships with organisations such as Mencap and Mind who can support clients for whom psychodynamic counselling is not the best choice.  </w:t>
            </w:r>
          </w:p>
        </w:tc>
      </w:tr>
    </w:tbl>
    <w:p w:rsidR="00AB5150" w:rsidRPr="00AB5150" w:rsidRDefault="00AB5150" w:rsidP="00AB5150">
      <w:pPr>
        <w:ind w:right="175"/>
        <w:rPr>
          <w:rFonts w:ascii="Arial" w:hAnsi="Arial" w:cs="Arial"/>
        </w:rPr>
      </w:pPr>
      <w:r w:rsidRPr="00AB5150">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6"/>
        <w:gridCol w:w="4511"/>
      </w:tblGrid>
      <w:tr w:rsidR="00AB5150" w:rsidRPr="00AB5150" w:rsidTr="00AB5150">
        <w:tblPrEx>
          <w:tblCellMar>
            <w:top w:w="0" w:type="dxa"/>
            <w:bottom w:w="0" w:type="dxa"/>
          </w:tblCellMar>
        </w:tblPrEx>
        <w:tc>
          <w:tcPr>
            <w:tcW w:w="5236" w:type="dxa"/>
          </w:tcPr>
          <w:p w:rsidR="00AB5150" w:rsidRPr="00AB5150" w:rsidRDefault="00AB5150" w:rsidP="00AB5150">
            <w:pPr>
              <w:pStyle w:val="Heading1"/>
              <w:ind w:right="1181"/>
              <w:rPr>
                <w:rFonts w:ascii="Arial" w:eastAsia="Times New Roman" w:hAnsi="Arial" w:cs="Arial"/>
                <w:b/>
                <w:color w:val="auto"/>
                <w:sz w:val="24"/>
                <w:szCs w:val="24"/>
              </w:rPr>
            </w:pPr>
            <w:r w:rsidRPr="00AB5150">
              <w:rPr>
                <w:rFonts w:ascii="Arial" w:eastAsia="Times New Roman" w:hAnsi="Arial" w:cs="Arial"/>
                <w:b/>
                <w:color w:val="auto"/>
                <w:sz w:val="24"/>
                <w:szCs w:val="24"/>
              </w:rPr>
              <w:lastRenderedPageBreak/>
              <w:t>Equal opportunities</w:t>
            </w:r>
          </w:p>
        </w:tc>
        <w:tc>
          <w:tcPr>
            <w:tcW w:w="4511" w:type="dxa"/>
          </w:tcPr>
          <w:p w:rsidR="00AB5150" w:rsidRPr="00AB5150" w:rsidRDefault="00AB5150" w:rsidP="00AB5150">
            <w:pPr>
              <w:pStyle w:val="Heading1"/>
              <w:ind w:right="1181"/>
              <w:rPr>
                <w:rFonts w:ascii="Arial" w:eastAsia="Times New Roman" w:hAnsi="Arial" w:cs="Arial"/>
                <w:b/>
                <w:color w:val="auto"/>
                <w:sz w:val="24"/>
                <w:szCs w:val="24"/>
              </w:rPr>
            </w:pPr>
            <w:r w:rsidRPr="00AB5150">
              <w:rPr>
                <w:rFonts w:ascii="Arial" w:eastAsia="Times New Roman" w:hAnsi="Arial" w:cs="Arial"/>
                <w:b/>
                <w:color w:val="auto"/>
                <w:sz w:val="24"/>
                <w:szCs w:val="24"/>
              </w:rPr>
              <w:t>Strategy</w:t>
            </w:r>
          </w:p>
        </w:tc>
      </w:tr>
      <w:tr w:rsidR="00AB5150" w:rsidRPr="00AB5150" w:rsidTr="00AB5150">
        <w:tblPrEx>
          <w:tblCellMar>
            <w:top w:w="0" w:type="dxa"/>
            <w:bottom w:w="0" w:type="dxa"/>
          </w:tblCellMar>
        </w:tblPrEx>
        <w:trPr>
          <w:trHeight w:val="462"/>
        </w:trPr>
        <w:tc>
          <w:tcPr>
            <w:tcW w:w="5236" w:type="dxa"/>
          </w:tcPr>
          <w:p w:rsidR="00AB5150" w:rsidRPr="00AB5150" w:rsidRDefault="00AB5150" w:rsidP="00AB5150">
            <w:pPr>
              <w:pStyle w:val="Heading1"/>
              <w:ind w:right="1181"/>
              <w:rPr>
                <w:rFonts w:ascii="Arial" w:eastAsia="Times New Roman" w:hAnsi="Arial" w:cs="Arial"/>
                <w:color w:val="auto"/>
                <w:sz w:val="24"/>
                <w:szCs w:val="24"/>
              </w:rPr>
            </w:pPr>
            <w:r w:rsidRPr="00AB5150">
              <w:rPr>
                <w:rFonts w:ascii="Arial" w:eastAsia="Times New Roman" w:hAnsi="Arial" w:cs="Arial"/>
                <w:color w:val="auto"/>
                <w:sz w:val="24"/>
                <w:szCs w:val="24"/>
              </w:rPr>
              <w:t>All clients are asked to fill in an equal opportunities form at the beginning of training or counselling (both NHS and open ended).</w:t>
            </w:r>
          </w:p>
          <w:p w:rsidR="00AB5150" w:rsidRPr="00AB5150" w:rsidRDefault="00AB5150" w:rsidP="00AB5150">
            <w:pPr>
              <w:ind w:right="1181"/>
              <w:rPr>
                <w:rFonts w:ascii="Arial" w:hAnsi="Arial" w:cs="Arial"/>
              </w:rPr>
            </w:pPr>
            <w:r w:rsidRPr="00AB5150">
              <w:rPr>
                <w:rFonts w:ascii="Arial" w:hAnsi="Arial" w:cs="Arial"/>
              </w:rPr>
              <w:t>We monitor these forms for feedback on accessibility, attitude of staff and counsellors and whether the setting was comfortable and best suited to their needs.</w:t>
            </w:r>
          </w:p>
          <w:p w:rsidR="00AB5150" w:rsidRPr="00AB5150" w:rsidRDefault="00AB5150" w:rsidP="00AB5150">
            <w:pPr>
              <w:ind w:right="1181"/>
              <w:rPr>
                <w:rFonts w:ascii="Arial" w:hAnsi="Arial" w:cs="Arial"/>
              </w:rPr>
            </w:pPr>
            <w:r w:rsidRPr="00AB5150">
              <w:rPr>
                <w:rFonts w:ascii="Arial" w:hAnsi="Arial" w:cs="Arial"/>
              </w:rPr>
              <w:t>Staff and counsellors are trained to and expected to give appropriate attention to the diverse range of client needs.</w:t>
            </w:r>
          </w:p>
          <w:p w:rsidR="00AB5150" w:rsidRPr="00AB5150" w:rsidRDefault="00AB5150" w:rsidP="00AB5150">
            <w:pPr>
              <w:ind w:right="1181"/>
              <w:rPr>
                <w:rFonts w:ascii="Arial" w:hAnsi="Arial" w:cs="Arial"/>
              </w:rPr>
            </w:pPr>
            <w:r w:rsidRPr="00AB5150">
              <w:rPr>
                <w:rFonts w:ascii="Arial" w:hAnsi="Arial" w:cs="Arial"/>
              </w:rPr>
              <w:t>Staff are provided with a family friendly environment as part of the philosophy of caring for self and others.</w:t>
            </w:r>
          </w:p>
          <w:p w:rsidR="00AB5150" w:rsidRPr="00AB5150" w:rsidRDefault="00AB5150" w:rsidP="00AB5150">
            <w:pPr>
              <w:ind w:right="1181"/>
              <w:rPr>
                <w:rFonts w:ascii="Arial" w:hAnsi="Arial" w:cs="Arial"/>
              </w:rPr>
            </w:pPr>
          </w:p>
        </w:tc>
        <w:tc>
          <w:tcPr>
            <w:tcW w:w="4511" w:type="dxa"/>
          </w:tcPr>
          <w:p w:rsidR="00AB5150" w:rsidRPr="00AB5150" w:rsidRDefault="00AB5150" w:rsidP="00AB5150">
            <w:pPr>
              <w:pStyle w:val="Heading1"/>
              <w:ind w:right="1181"/>
              <w:rPr>
                <w:rFonts w:ascii="Arial" w:eastAsia="Times New Roman" w:hAnsi="Arial" w:cs="Arial"/>
                <w:color w:val="auto"/>
                <w:sz w:val="24"/>
                <w:szCs w:val="24"/>
              </w:rPr>
            </w:pPr>
            <w:r w:rsidRPr="00AB5150">
              <w:rPr>
                <w:rFonts w:ascii="Arial" w:eastAsia="Times New Roman" w:hAnsi="Arial" w:cs="Arial"/>
                <w:color w:val="auto"/>
                <w:sz w:val="24"/>
                <w:szCs w:val="24"/>
              </w:rPr>
              <w:t>To continue to monitor forms and feedback passed on informally by clients, administrators and counsellors.</w:t>
            </w:r>
          </w:p>
          <w:p w:rsidR="00AB5150" w:rsidRPr="00AB5150" w:rsidRDefault="00AB5150" w:rsidP="00AB5150">
            <w:pPr>
              <w:pStyle w:val="Heading1"/>
              <w:ind w:right="1181"/>
              <w:rPr>
                <w:rFonts w:ascii="Arial" w:eastAsia="Times New Roman" w:hAnsi="Arial" w:cs="Arial"/>
                <w:color w:val="auto"/>
                <w:sz w:val="24"/>
                <w:szCs w:val="24"/>
              </w:rPr>
            </w:pPr>
            <w:r w:rsidRPr="00AB5150">
              <w:rPr>
                <w:rFonts w:ascii="Arial" w:eastAsia="Times New Roman" w:hAnsi="Arial" w:cs="Arial"/>
                <w:color w:val="auto"/>
                <w:sz w:val="24"/>
                <w:szCs w:val="24"/>
              </w:rPr>
              <w:t xml:space="preserve">The aim is to provide support as much as possible that does not require the client to seek individual assistance. </w:t>
            </w:r>
          </w:p>
          <w:p w:rsidR="00AB5150" w:rsidRPr="00AB5150" w:rsidRDefault="00AB5150" w:rsidP="00AB5150">
            <w:pPr>
              <w:ind w:right="1181"/>
              <w:rPr>
                <w:rFonts w:ascii="Arial" w:hAnsi="Arial" w:cs="Arial"/>
              </w:rPr>
            </w:pPr>
          </w:p>
          <w:p w:rsidR="00AB5150" w:rsidRPr="00AB5150" w:rsidRDefault="00AB5150" w:rsidP="00AB5150">
            <w:pPr>
              <w:ind w:right="1181"/>
              <w:rPr>
                <w:rFonts w:ascii="Arial" w:hAnsi="Arial" w:cs="Arial"/>
              </w:rPr>
            </w:pPr>
            <w:r w:rsidRPr="00AB5150">
              <w:rPr>
                <w:rFonts w:ascii="Arial" w:hAnsi="Arial" w:cs="Arial"/>
              </w:rPr>
              <w:t xml:space="preserve">The Foundation takes pride in having a family friendly working environment and policies. For example all employees can request flexible working hours between 7am and 3pm, to meet any family or personal requirements. The organisation closes between Christmas and New Year to ensure that everyone has time with family and friends.  </w:t>
            </w:r>
          </w:p>
        </w:tc>
      </w:tr>
    </w:tbl>
    <w:p w:rsidR="00AB5150" w:rsidRPr="00AB5150" w:rsidRDefault="00AB5150" w:rsidP="00AB5150">
      <w:pPr>
        <w:pStyle w:val="BodyText"/>
        <w:ind w:right="1181"/>
        <w:rPr>
          <w:rFonts w:cs="Arial"/>
          <w:sz w:val="24"/>
          <w:szCs w:val="24"/>
        </w:rPr>
      </w:pPr>
    </w:p>
    <w:p w:rsidR="00AB5150" w:rsidRDefault="00AB5150" w:rsidP="00AB5150">
      <w:pPr>
        <w:pStyle w:val="BodyText"/>
        <w:ind w:right="1181"/>
        <w:rPr>
          <w:rFonts w:cs="Arial"/>
          <w:sz w:val="24"/>
          <w:szCs w:val="24"/>
        </w:rPr>
      </w:pPr>
    </w:p>
    <w:p w:rsidR="00AB5150" w:rsidRDefault="00AB5150" w:rsidP="00AB5150">
      <w:pPr>
        <w:pStyle w:val="BodyText"/>
        <w:ind w:right="1181"/>
        <w:rPr>
          <w:rFonts w:cs="Arial"/>
          <w:sz w:val="24"/>
          <w:szCs w:val="24"/>
        </w:rPr>
      </w:pPr>
      <w:r w:rsidRPr="00AB5150">
        <w:rPr>
          <w:rFonts w:cs="Arial"/>
          <w:sz w:val="24"/>
          <w:szCs w:val="24"/>
        </w:rPr>
        <w:t>Issues within this policy will be raised at Executive meetings quarterly.</w:t>
      </w:r>
    </w:p>
    <w:p w:rsidR="00AB5150" w:rsidRPr="00AB5150" w:rsidRDefault="00AB5150" w:rsidP="00AB5150">
      <w:pPr>
        <w:pStyle w:val="BodyText"/>
        <w:ind w:right="1181"/>
        <w:rPr>
          <w:rFonts w:cs="Arial"/>
          <w:sz w:val="24"/>
          <w:szCs w:val="24"/>
        </w:rPr>
      </w:pPr>
    </w:p>
    <w:p w:rsidR="00AB5150" w:rsidRPr="00AB5150" w:rsidRDefault="00AB5150" w:rsidP="00AB5150">
      <w:pPr>
        <w:pStyle w:val="BodyText"/>
        <w:ind w:right="1181"/>
        <w:rPr>
          <w:rFonts w:cs="Arial"/>
          <w:sz w:val="24"/>
          <w:szCs w:val="24"/>
        </w:rPr>
      </w:pPr>
      <w:r w:rsidRPr="00AB5150">
        <w:rPr>
          <w:rFonts w:cs="Arial"/>
          <w:sz w:val="24"/>
          <w:szCs w:val="24"/>
        </w:rPr>
        <w:t xml:space="preserve">The policy will be reviewed each October and the new edition published on the Foundation website. </w:t>
      </w:r>
    </w:p>
    <w:p w:rsidR="000B0361" w:rsidRPr="00C03CAC" w:rsidRDefault="000B0361" w:rsidP="00AB5150">
      <w:pPr>
        <w:ind w:right="897"/>
        <w:rPr>
          <w:rFonts w:ascii="Arial" w:hAnsi="Arial" w:cs="Arial"/>
          <w:b/>
          <w:bCs/>
          <w:sz w:val="22"/>
          <w:szCs w:val="22"/>
        </w:rPr>
      </w:pPr>
    </w:p>
    <w:sectPr w:rsidR="000B0361" w:rsidRPr="00C03CAC" w:rsidSect="00C03CAC">
      <w:headerReference w:type="even" r:id="rId8"/>
      <w:headerReference w:type="default" r:id="rId9"/>
      <w:footerReference w:type="default" r:id="rId10"/>
      <w:footerReference w:type="first" r:id="rId11"/>
      <w:pgSz w:w="11907" w:h="16840"/>
      <w:pgMar w:top="360" w:right="361" w:bottom="360" w:left="1293"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987" w:rsidRDefault="00376987">
      <w:r>
        <w:separator/>
      </w:r>
    </w:p>
  </w:endnote>
  <w:endnote w:type="continuationSeparator" w:id="0">
    <w:p w:rsidR="00376987" w:rsidRDefault="0037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150" w:rsidRDefault="00AB5150" w:rsidP="00AB5150">
    <w:pPr>
      <w:pStyle w:val="Footer"/>
      <w:rPr>
        <w:rFonts w:ascii="Arial" w:hAnsi="Arial" w:cs="Arial"/>
        <w:color w:val="000000" w:themeColor="text1"/>
      </w:rPr>
    </w:pPr>
  </w:p>
  <w:p w:rsidR="00AB5150" w:rsidRPr="00AB5150" w:rsidRDefault="00AB5150" w:rsidP="00AB5150">
    <w:pPr>
      <w:pStyle w:val="Footer"/>
      <w:rPr>
        <w:rFonts w:ascii="Arial" w:hAnsi="Arial" w:cs="Arial"/>
      </w:rPr>
    </w:pPr>
    <w:r w:rsidRPr="00AB5150">
      <w:rPr>
        <w:rFonts w:ascii="Arial" w:hAnsi="Arial" w:cs="Arial"/>
        <w:color w:val="000000" w:themeColor="text1"/>
      </w:rPr>
      <w:t>Strategy for addressing accessibility limitations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0EF" w:rsidRDefault="00230D54">
    <w:pPr>
      <w:pStyle w:val="Footer"/>
    </w:pPr>
    <w:r>
      <w:t>TCF 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987" w:rsidRDefault="00376987">
      <w:r>
        <w:separator/>
      </w:r>
    </w:p>
  </w:footnote>
  <w:footnote w:type="continuationSeparator" w:id="0">
    <w:p w:rsidR="00376987" w:rsidRDefault="00376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CF3" w:rsidRDefault="008E142D" w:rsidP="00E43102">
    <w:pPr>
      <w:pStyle w:val="Header"/>
      <w:framePr w:wrap="around" w:vAnchor="text" w:hAnchor="margin" w:xAlign="center" w:y="1"/>
      <w:rPr>
        <w:rStyle w:val="PageNumber"/>
      </w:rPr>
    </w:pPr>
    <w:r>
      <w:rPr>
        <w:rStyle w:val="PageNumber"/>
      </w:rPr>
      <w:fldChar w:fldCharType="begin"/>
    </w:r>
    <w:r w:rsidR="00004CF3">
      <w:rPr>
        <w:rStyle w:val="PageNumber"/>
      </w:rPr>
      <w:instrText xml:space="preserve">PAGE  </w:instrText>
    </w:r>
    <w:r>
      <w:rPr>
        <w:rStyle w:val="PageNumber"/>
      </w:rPr>
      <w:fldChar w:fldCharType="end"/>
    </w:r>
  </w:p>
  <w:p w:rsidR="00004CF3" w:rsidRDefault="00004C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CAC" w:rsidRPr="00C03CAC" w:rsidRDefault="00C03CAC">
    <w:pPr>
      <w:pStyle w:val="Header"/>
      <w:rPr>
        <w:rFonts w:ascii="Arial" w:hAnsi="Arial" w:cs="Arial"/>
        <w:sz w:val="22"/>
        <w:szCs w:val="22"/>
      </w:rPr>
    </w:pPr>
    <w:r w:rsidRPr="00C03CAC">
      <w:rPr>
        <w:rFonts w:ascii="Arial" w:hAnsi="Arial" w:cs="Arial"/>
        <w:sz w:val="22"/>
        <w:szCs w:val="22"/>
      </w:rPr>
      <w:t xml:space="preserve">Page </w:t>
    </w:r>
    <w:sdt>
      <w:sdtPr>
        <w:rPr>
          <w:rFonts w:ascii="Arial" w:hAnsi="Arial" w:cs="Arial"/>
          <w:sz w:val="22"/>
          <w:szCs w:val="22"/>
        </w:rPr>
        <w:id w:val="27542309"/>
        <w:docPartObj>
          <w:docPartGallery w:val="Page Numbers (Top of Page)"/>
          <w:docPartUnique/>
        </w:docPartObj>
      </w:sdtPr>
      <w:sdtEndPr/>
      <w:sdtContent>
        <w:r w:rsidR="008E142D" w:rsidRPr="00C03CAC">
          <w:rPr>
            <w:rFonts w:ascii="Arial" w:hAnsi="Arial" w:cs="Arial"/>
            <w:sz w:val="22"/>
            <w:szCs w:val="22"/>
          </w:rPr>
          <w:fldChar w:fldCharType="begin"/>
        </w:r>
        <w:r w:rsidRPr="00C03CAC">
          <w:rPr>
            <w:rFonts w:ascii="Arial" w:hAnsi="Arial" w:cs="Arial"/>
            <w:sz w:val="22"/>
            <w:szCs w:val="22"/>
          </w:rPr>
          <w:instrText xml:space="preserve"> PAGE   \* MERGEFORMAT </w:instrText>
        </w:r>
        <w:r w:rsidR="008E142D" w:rsidRPr="00C03CAC">
          <w:rPr>
            <w:rFonts w:ascii="Arial" w:hAnsi="Arial" w:cs="Arial"/>
            <w:sz w:val="22"/>
            <w:szCs w:val="22"/>
          </w:rPr>
          <w:fldChar w:fldCharType="separate"/>
        </w:r>
        <w:r w:rsidR="000C3786">
          <w:rPr>
            <w:rFonts w:ascii="Arial" w:hAnsi="Arial" w:cs="Arial"/>
            <w:noProof/>
            <w:sz w:val="22"/>
            <w:szCs w:val="22"/>
          </w:rPr>
          <w:t>1</w:t>
        </w:r>
        <w:r w:rsidR="008E142D" w:rsidRPr="00C03CAC">
          <w:rPr>
            <w:rFonts w:ascii="Arial" w:hAnsi="Arial" w:cs="Arial"/>
            <w:sz w:val="22"/>
            <w:szCs w:val="22"/>
          </w:rPr>
          <w:fldChar w:fldCharType="end"/>
        </w:r>
      </w:sdtContent>
    </w:sdt>
  </w:p>
  <w:p w:rsidR="00004CF3" w:rsidRPr="00DF53EA" w:rsidRDefault="00004CF3">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1872"/>
    <w:multiLevelType w:val="hybridMultilevel"/>
    <w:tmpl w:val="F2066A0A"/>
    <w:lvl w:ilvl="0" w:tplc="08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
    <w:nsid w:val="03B90E9B"/>
    <w:multiLevelType w:val="hybridMultilevel"/>
    <w:tmpl w:val="F2F66C62"/>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5F55C4"/>
    <w:multiLevelType w:val="singleLevel"/>
    <w:tmpl w:val="2CEE17F2"/>
    <w:lvl w:ilvl="0">
      <w:start w:val="3"/>
      <w:numFmt w:val="decimal"/>
      <w:lvlText w:val="%1."/>
      <w:legacy w:legacy="1" w:legacySpace="0" w:legacyIndent="0"/>
      <w:lvlJc w:val="left"/>
      <w:rPr>
        <w:rFonts w:ascii="Times New Roman" w:hAnsi="Times New Roman" w:hint="default"/>
        <w:color w:val="111114"/>
      </w:rPr>
    </w:lvl>
  </w:abstractNum>
  <w:abstractNum w:abstractNumId="3">
    <w:nsid w:val="0A174AFD"/>
    <w:multiLevelType w:val="hybridMultilevel"/>
    <w:tmpl w:val="3D1EF980"/>
    <w:lvl w:ilvl="0" w:tplc="14F2F874">
      <w:start w:val="1"/>
      <w:numFmt w:val="bullet"/>
      <w:lvlText w:val=""/>
      <w:lvlJc w:val="left"/>
      <w:pPr>
        <w:ind w:left="528"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3A2694"/>
    <w:multiLevelType w:val="hybridMultilevel"/>
    <w:tmpl w:val="7ADCD696"/>
    <w:lvl w:ilvl="0" w:tplc="14F2F874">
      <w:start w:val="1"/>
      <w:numFmt w:val="bullet"/>
      <w:lvlText w:val=""/>
      <w:lvlJc w:val="left"/>
      <w:pPr>
        <w:ind w:left="528"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331CBC"/>
    <w:multiLevelType w:val="hybridMultilevel"/>
    <w:tmpl w:val="3E860D84"/>
    <w:lvl w:ilvl="0" w:tplc="F668A0CC">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7B1B52"/>
    <w:multiLevelType w:val="hybridMultilevel"/>
    <w:tmpl w:val="9F5E7F66"/>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DD4276"/>
    <w:multiLevelType w:val="hybridMultilevel"/>
    <w:tmpl w:val="F2900B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E1B71A7"/>
    <w:multiLevelType w:val="hybridMultilevel"/>
    <w:tmpl w:val="CEAE731C"/>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4A67D87"/>
    <w:multiLevelType w:val="hybridMultilevel"/>
    <w:tmpl w:val="0042300E"/>
    <w:lvl w:ilvl="0" w:tplc="2F900FB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1735D4"/>
    <w:multiLevelType w:val="hybridMultilevel"/>
    <w:tmpl w:val="3A761326"/>
    <w:lvl w:ilvl="0" w:tplc="DFB24A98">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72F4243"/>
    <w:multiLevelType w:val="hybridMultilevel"/>
    <w:tmpl w:val="73529868"/>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BD1EF9"/>
    <w:multiLevelType w:val="hybridMultilevel"/>
    <w:tmpl w:val="EB7A5E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9A53711"/>
    <w:multiLevelType w:val="singleLevel"/>
    <w:tmpl w:val="70BC70E4"/>
    <w:lvl w:ilvl="0">
      <w:start w:val="1"/>
      <w:numFmt w:val="decimal"/>
      <w:lvlText w:val="%1."/>
      <w:legacy w:legacy="1" w:legacySpace="0" w:legacyIndent="0"/>
      <w:lvlJc w:val="left"/>
      <w:rPr>
        <w:rFonts w:ascii="Times New Roman" w:hAnsi="Times New Roman" w:cs="Times New Roman" w:hint="default"/>
        <w:color w:val="171417"/>
      </w:rPr>
    </w:lvl>
  </w:abstractNum>
  <w:abstractNum w:abstractNumId="14">
    <w:nsid w:val="3F9D2EE3"/>
    <w:multiLevelType w:val="hybridMultilevel"/>
    <w:tmpl w:val="2188E0C8"/>
    <w:lvl w:ilvl="0" w:tplc="14F2F874">
      <w:start w:val="1"/>
      <w:numFmt w:val="bullet"/>
      <w:lvlText w:val=""/>
      <w:lvlJc w:val="left"/>
      <w:pPr>
        <w:ind w:left="528" w:hanging="360"/>
      </w:pPr>
      <w:rPr>
        <w:rFonts w:ascii="Symbol" w:eastAsia="Times New Roman" w:hAnsi="Symbol" w:cs="Arial" w:hint="default"/>
      </w:rPr>
    </w:lvl>
    <w:lvl w:ilvl="1" w:tplc="08090003" w:tentative="1">
      <w:start w:val="1"/>
      <w:numFmt w:val="bullet"/>
      <w:lvlText w:val="o"/>
      <w:lvlJc w:val="left"/>
      <w:pPr>
        <w:ind w:left="1248" w:hanging="360"/>
      </w:pPr>
      <w:rPr>
        <w:rFonts w:ascii="Courier New" w:hAnsi="Courier New" w:cs="Courier New" w:hint="default"/>
      </w:rPr>
    </w:lvl>
    <w:lvl w:ilvl="2" w:tplc="08090005" w:tentative="1">
      <w:start w:val="1"/>
      <w:numFmt w:val="bullet"/>
      <w:lvlText w:val=""/>
      <w:lvlJc w:val="left"/>
      <w:pPr>
        <w:ind w:left="1968" w:hanging="360"/>
      </w:pPr>
      <w:rPr>
        <w:rFonts w:ascii="Wingdings" w:hAnsi="Wingdings" w:hint="default"/>
      </w:rPr>
    </w:lvl>
    <w:lvl w:ilvl="3" w:tplc="08090001" w:tentative="1">
      <w:start w:val="1"/>
      <w:numFmt w:val="bullet"/>
      <w:lvlText w:val=""/>
      <w:lvlJc w:val="left"/>
      <w:pPr>
        <w:ind w:left="2688" w:hanging="360"/>
      </w:pPr>
      <w:rPr>
        <w:rFonts w:ascii="Symbol" w:hAnsi="Symbol" w:hint="default"/>
      </w:rPr>
    </w:lvl>
    <w:lvl w:ilvl="4" w:tplc="08090003" w:tentative="1">
      <w:start w:val="1"/>
      <w:numFmt w:val="bullet"/>
      <w:lvlText w:val="o"/>
      <w:lvlJc w:val="left"/>
      <w:pPr>
        <w:ind w:left="3408" w:hanging="360"/>
      </w:pPr>
      <w:rPr>
        <w:rFonts w:ascii="Courier New" w:hAnsi="Courier New" w:cs="Courier New" w:hint="default"/>
      </w:rPr>
    </w:lvl>
    <w:lvl w:ilvl="5" w:tplc="08090005" w:tentative="1">
      <w:start w:val="1"/>
      <w:numFmt w:val="bullet"/>
      <w:lvlText w:val=""/>
      <w:lvlJc w:val="left"/>
      <w:pPr>
        <w:ind w:left="4128" w:hanging="360"/>
      </w:pPr>
      <w:rPr>
        <w:rFonts w:ascii="Wingdings" w:hAnsi="Wingdings" w:hint="default"/>
      </w:rPr>
    </w:lvl>
    <w:lvl w:ilvl="6" w:tplc="08090001" w:tentative="1">
      <w:start w:val="1"/>
      <w:numFmt w:val="bullet"/>
      <w:lvlText w:val=""/>
      <w:lvlJc w:val="left"/>
      <w:pPr>
        <w:ind w:left="4848" w:hanging="360"/>
      </w:pPr>
      <w:rPr>
        <w:rFonts w:ascii="Symbol" w:hAnsi="Symbol" w:hint="default"/>
      </w:rPr>
    </w:lvl>
    <w:lvl w:ilvl="7" w:tplc="08090003" w:tentative="1">
      <w:start w:val="1"/>
      <w:numFmt w:val="bullet"/>
      <w:lvlText w:val="o"/>
      <w:lvlJc w:val="left"/>
      <w:pPr>
        <w:ind w:left="5568" w:hanging="360"/>
      </w:pPr>
      <w:rPr>
        <w:rFonts w:ascii="Courier New" w:hAnsi="Courier New" w:cs="Courier New" w:hint="default"/>
      </w:rPr>
    </w:lvl>
    <w:lvl w:ilvl="8" w:tplc="08090005" w:tentative="1">
      <w:start w:val="1"/>
      <w:numFmt w:val="bullet"/>
      <w:lvlText w:val=""/>
      <w:lvlJc w:val="left"/>
      <w:pPr>
        <w:ind w:left="6288" w:hanging="360"/>
      </w:pPr>
      <w:rPr>
        <w:rFonts w:ascii="Wingdings" w:hAnsi="Wingdings" w:hint="default"/>
      </w:rPr>
    </w:lvl>
  </w:abstractNum>
  <w:abstractNum w:abstractNumId="15">
    <w:nsid w:val="646C4F83"/>
    <w:multiLevelType w:val="hybridMultilevel"/>
    <w:tmpl w:val="3E9C3384"/>
    <w:lvl w:ilvl="0" w:tplc="08090001">
      <w:start w:val="1"/>
      <w:numFmt w:val="bullet"/>
      <w:lvlText w:val=""/>
      <w:lvlJc w:val="left"/>
      <w:pPr>
        <w:ind w:left="2439" w:hanging="360"/>
      </w:pPr>
      <w:rPr>
        <w:rFonts w:ascii="Symbol" w:hAnsi="Symbol" w:hint="default"/>
      </w:rPr>
    </w:lvl>
    <w:lvl w:ilvl="1" w:tplc="08090003" w:tentative="1">
      <w:start w:val="1"/>
      <w:numFmt w:val="bullet"/>
      <w:lvlText w:val="o"/>
      <w:lvlJc w:val="left"/>
      <w:pPr>
        <w:ind w:left="3159" w:hanging="360"/>
      </w:pPr>
      <w:rPr>
        <w:rFonts w:ascii="Courier New" w:hAnsi="Courier New" w:cs="Courier New" w:hint="default"/>
      </w:rPr>
    </w:lvl>
    <w:lvl w:ilvl="2" w:tplc="08090005" w:tentative="1">
      <w:start w:val="1"/>
      <w:numFmt w:val="bullet"/>
      <w:lvlText w:val=""/>
      <w:lvlJc w:val="left"/>
      <w:pPr>
        <w:ind w:left="3879" w:hanging="360"/>
      </w:pPr>
      <w:rPr>
        <w:rFonts w:ascii="Wingdings" w:hAnsi="Wingdings" w:hint="default"/>
      </w:rPr>
    </w:lvl>
    <w:lvl w:ilvl="3" w:tplc="08090001" w:tentative="1">
      <w:start w:val="1"/>
      <w:numFmt w:val="bullet"/>
      <w:lvlText w:val=""/>
      <w:lvlJc w:val="left"/>
      <w:pPr>
        <w:ind w:left="4599" w:hanging="360"/>
      </w:pPr>
      <w:rPr>
        <w:rFonts w:ascii="Symbol" w:hAnsi="Symbol" w:hint="default"/>
      </w:rPr>
    </w:lvl>
    <w:lvl w:ilvl="4" w:tplc="08090003" w:tentative="1">
      <w:start w:val="1"/>
      <w:numFmt w:val="bullet"/>
      <w:lvlText w:val="o"/>
      <w:lvlJc w:val="left"/>
      <w:pPr>
        <w:ind w:left="5319" w:hanging="360"/>
      </w:pPr>
      <w:rPr>
        <w:rFonts w:ascii="Courier New" w:hAnsi="Courier New" w:cs="Courier New" w:hint="default"/>
      </w:rPr>
    </w:lvl>
    <w:lvl w:ilvl="5" w:tplc="08090005" w:tentative="1">
      <w:start w:val="1"/>
      <w:numFmt w:val="bullet"/>
      <w:lvlText w:val=""/>
      <w:lvlJc w:val="left"/>
      <w:pPr>
        <w:ind w:left="6039" w:hanging="360"/>
      </w:pPr>
      <w:rPr>
        <w:rFonts w:ascii="Wingdings" w:hAnsi="Wingdings" w:hint="default"/>
      </w:rPr>
    </w:lvl>
    <w:lvl w:ilvl="6" w:tplc="08090001" w:tentative="1">
      <w:start w:val="1"/>
      <w:numFmt w:val="bullet"/>
      <w:lvlText w:val=""/>
      <w:lvlJc w:val="left"/>
      <w:pPr>
        <w:ind w:left="6759" w:hanging="360"/>
      </w:pPr>
      <w:rPr>
        <w:rFonts w:ascii="Symbol" w:hAnsi="Symbol" w:hint="default"/>
      </w:rPr>
    </w:lvl>
    <w:lvl w:ilvl="7" w:tplc="08090003" w:tentative="1">
      <w:start w:val="1"/>
      <w:numFmt w:val="bullet"/>
      <w:lvlText w:val="o"/>
      <w:lvlJc w:val="left"/>
      <w:pPr>
        <w:ind w:left="7479" w:hanging="360"/>
      </w:pPr>
      <w:rPr>
        <w:rFonts w:ascii="Courier New" w:hAnsi="Courier New" w:cs="Courier New" w:hint="default"/>
      </w:rPr>
    </w:lvl>
    <w:lvl w:ilvl="8" w:tplc="08090005" w:tentative="1">
      <w:start w:val="1"/>
      <w:numFmt w:val="bullet"/>
      <w:lvlText w:val=""/>
      <w:lvlJc w:val="left"/>
      <w:pPr>
        <w:ind w:left="8199" w:hanging="360"/>
      </w:pPr>
      <w:rPr>
        <w:rFonts w:ascii="Wingdings" w:hAnsi="Wingdings" w:hint="default"/>
      </w:rPr>
    </w:lvl>
  </w:abstractNum>
  <w:abstractNum w:abstractNumId="16">
    <w:nsid w:val="64914BF7"/>
    <w:multiLevelType w:val="hybridMultilevel"/>
    <w:tmpl w:val="16B45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E46A36"/>
    <w:multiLevelType w:val="hybridMultilevel"/>
    <w:tmpl w:val="C5086E0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nsid w:val="7EA96FF2"/>
    <w:multiLevelType w:val="hybridMultilevel"/>
    <w:tmpl w:val="D2523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lvl w:ilvl="0">
        <w:start w:val="3"/>
        <w:numFmt w:val="decimal"/>
        <w:lvlText w:val="%1."/>
        <w:legacy w:legacy="1" w:legacySpace="0" w:legacyIndent="0"/>
        <w:lvlJc w:val="left"/>
        <w:rPr>
          <w:rFonts w:ascii="Times New Roman" w:hAnsi="Times New Roman" w:cs="Times New Roman" w:hint="default"/>
          <w:color w:val="171417"/>
        </w:rPr>
      </w:lvl>
    </w:lvlOverride>
  </w:num>
  <w:num w:numId="3">
    <w:abstractNumId w:val="16"/>
  </w:num>
  <w:num w:numId="4">
    <w:abstractNumId w:val="2"/>
  </w:num>
  <w:num w:numId="5">
    <w:abstractNumId w:val="10"/>
  </w:num>
  <w:num w:numId="6">
    <w:abstractNumId w:val="15"/>
  </w:num>
  <w:num w:numId="7">
    <w:abstractNumId w:val="7"/>
  </w:num>
  <w:num w:numId="8">
    <w:abstractNumId w:val="18"/>
  </w:num>
  <w:num w:numId="9">
    <w:abstractNumId w:val="14"/>
  </w:num>
  <w:num w:numId="10">
    <w:abstractNumId w:val="3"/>
  </w:num>
  <w:num w:numId="11">
    <w:abstractNumId w:val="4"/>
  </w:num>
  <w:num w:numId="12">
    <w:abstractNumId w:val="9"/>
  </w:num>
  <w:num w:numId="13">
    <w:abstractNumId w:val="8"/>
  </w:num>
  <w:num w:numId="14">
    <w:abstractNumId w:val="17"/>
  </w:num>
  <w:num w:numId="15">
    <w:abstractNumId w:val="12"/>
  </w:num>
  <w:num w:numId="16">
    <w:abstractNumId w:val="0"/>
  </w:num>
  <w:num w:numId="17">
    <w:abstractNumId w:val="11"/>
  </w:num>
  <w:num w:numId="18">
    <w:abstractNumId w:val="6"/>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04CF3"/>
    <w:rsid w:val="00092C4B"/>
    <w:rsid w:val="000B0361"/>
    <w:rsid w:val="000B3367"/>
    <w:rsid w:val="000C3786"/>
    <w:rsid w:val="000E02C2"/>
    <w:rsid w:val="000E5B8B"/>
    <w:rsid w:val="00123651"/>
    <w:rsid w:val="001616AA"/>
    <w:rsid w:val="0022139E"/>
    <w:rsid w:val="00230D54"/>
    <w:rsid w:val="00232792"/>
    <w:rsid w:val="002900BE"/>
    <w:rsid w:val="00295EE0"/>
    <w:rsid w:val="002B3D73"/>
    <w:rsid w:val="002B7A32"/>
    <w:rsid w:val="002C0A94"/>
    <w:rsid w:val="002E56D6"/>
    <w:rsid w:val="002F70EF"/>
    <w:rsid w:val="0037392F"/>
    <w:rsid w:val="00376987"/>
    <w:rsid w:val="00385FC7"/>
    <w:rsid w:val="003B555A"/>
    <w:rsid w:val="003E2337"/>
    <w:rsid w:val="003E45EE"/>
    <w:rsid w:val="004422FD"/>
    <w:rsid w:val="00446CDD"/>
    <w:rsid w:val="00450395"/>
    <w:rsid w:val="004760F1"/>
    <w:rsid w:val="00485A0F"/>
    <w:rsid w:val="004B2CB4"/>
    <w:rsid w:val="00543795"/>
    <w:rsid w:val="00556B1F"/>
    <w:rsid w:val="005A373D"/>
    <w:rsid w:val="005B517D"/>
    <w:rsid w:val="006049A4"/>
    <w:rsid w:val="00645902"/>
    <w:rsid w:val="00653B38"/>
    <w:rsid w:val="00667BC8"/>
    <w:rsid w:val="006D1C56"/>
    <w:rsid w:val="0070552A"/>
    <w:rsid w:val="00722A4C"/>
    <w:rsid w:val="007834D2"/>
    <w:rsid w:val="007B1DCD"/>
    <w:rsid w:val="00814070"/>
    <w:rsid w:val="008247DB"/>
    <w:rsid w:val="008757BD"/>
    <w:rsid w:val="00875C84"/>
    <w:rsid w:val="00897F50"/>
    <w:rsid w:val="008B078E"/>
    <w:rsid w:val="008E142D"/>
    <w:rsid w:val="008F33D1"/>
    <w:rsid w:val="00957F61"/>
    <w:rsid w:val="0096007A"/>
    <w:rsid w:val="00967B6F"/>
    <w:rsid w:val="009F3E56"/>
    <w:rsid w:val="00A029DA"/>
    <w:rsid w:val="00A40E23"/>
    <w:rsid w:val="00AB5150"/>
    <w:rsid w:val="00AC7FCD"/>
    <w:rsid w:val="00AF4DE5"/>
    <w:rsid w:val="00B02ABE"/>
    <w:rsid w:val="00B24C61"/>
    <w:rsid w:val="00B93C7A"/>
    <w:rsid w:val="00B9772B"/>
    <w:rsid w:val="00BA7E59"/>
    <w:rsid w:val="00BB0A7C"/>
    <w:rsid w:val="00BF70A9"/>
    <w:rsid w:val="00C03CAC"/>
    <w:rsid w:val="00C07710"/>
    <w:rsid w:val="00C32BA3"/>
    <w:rsid w:val="00C43DB9"/>
    <w:rsid w:val="00C46685"/>
    <w:rsid w:val="00C543BB"/>
    <w:rsid w:val="00C67A14"/>
    <w:rsid w:val="00CA5E83"/>
    <w:rsid w:val="00CA7FE3"/>
    <w:rsid w:val="00CC1FCC"/>
    <w:rsid w:val="00CC2567"/>
    <w:rsid w:val="00D260A3"/>
    <w:rsid w:val="00DA0C45"/>
    <w:rsid w:val="00DD61ED"/>
    <w:rsid w:val="00DF53EA"/>
    <w:rsid w:val="00E1766C"/>
    <w:rsid w:val="00E43102"/>
    <w:rsid w:val="00E730F9"/>
    <w:rsid w:val="00E92CF6"/>
    <w:rsid w:val="00EA461F"/>
    <w:rsid w:val="00F20454"/>
    <w:rsid w:val="00F37873"/>
    <w:rsid w:val="00F62D9F"/>
    <w:rsid w:val="00FB4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E50103-E920-4B07-895D-77D3AD14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C84"/>
    <w:rPr>
      <w:sz w:val="24"/>
      <w:szCs w:val="24"/>
    </w:rPr>
  </w:style>
  <w:style w:type="paragraph" w:styleId="Heading1">
    <w:name w:val="heading 1"/>
    <w:basedOn w:val="Normal"/>
    <w:next w:val="Normal"/>
    <w:link w:val="Heading1Char"/>
    <w:uiPriority w:val="9"/>
    <w:qFormat/>
    <w:rsid w:val="00AB515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C03CAC"/>
    <w:pPr>
      <w:keepNext/>
      <w:jc w:val="both"/>
      <w:outlineLvl w:val="2"/>
    </w:pPr>
    <w:rPr>
      <w:rFonts w:ascii="Arial" w:hAnsi="Arial" w:cs="Arial"/>
      <w:b/>
      <w:bCs/>
      <w:lang w:val="en-US" w:eastAsia="en-US"/>
    </w:rPr>
  </w:style>
  <w:style w:type="paragraph" w:styleId="Heading5">
    <w:name w:val="heading 5"/>
    <w:basedOn w:val="Normal"/>
    <w:next w:val="Normal"/>
    <w:link w:val="Heading5Char"/>
    <w:qFormat/>
    <w:rsid w:val="00C03CAC"/>
    <w:pPr>
      <w:keepNext/>
      <w:jc w:val="both"/>
      <w:outlineLvl w:val="4"/>
    </w:pPr>
    <w:rPr>
      <w:rFonts w:ascii="Arial" w:hAnsi="Arial" w:cs="Arial"/>
      <w:b/>
      <w:bCs/>
      <w:sz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875C84"/>
    <w:pPr>
      <w:widowControl w:val="0"/>
      <w:autoSpaceDE w:val="0"/>
      <w:autoSpaceDN w:val="0"/>
      <w:adjustRightInd w:val="0"/>
    </w:pPr>
    <w:rPr>
      <w:sz w:val="24"/>
      <w:szCs w:val="24"/>
    </w:rPr>
  </w:style>
  <w:style w:type="paragraph" w:styleId="Header">
    <w:name w:val="header"/>
    <w:basedOn w:val="Normal"/>
    <w:link w:val="HeaderChar"/>
    <w:uiPriority w:val="99"/>
    <w:rsid w:val="00004CF3"/>
    <w:pPr>
      <w:tabs>
        <w:tab w:val="center" w:pos="4320"/>
        <w:tab w:val="right" w:pos="8640"/>
      </w:tabs>
    </w:pPr>
  </w:style>
  <w:style w:type="paragraph" w:styleId="Footer">
    <w:name w:val="footer"/>
    <w:basedOn w:val="Normal"/>
    <w:rsid w:val="00004CF3"/>
    <w:pPr>
      <w:tabs>
        <w:tab w:val="center" w:pos="4320"/>
        <w:tab w:val="right" w:pos="8640"/>
      </w:tabs>
    </w:pPr>
  </w:style>
  <w:style w:type="character" w:styleId="PageNumber">
    <w:name w:val="page number"/>
    <w:basedOn w:val="DefaultParagraphFont"/>
    <w:rsid w:val="00004CF3"/>
  </w:style>
  <w:style w:type="table" w:styleId="TableGrid">
    <w:name w:val="Table Grid"/>
    <w:basedOn w:val="TableNormal"/>
    <w:uiPriority w:val="59"/>
    <w:rsid w:val="002B3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A7FE3"/>
    <w:pPr>
      <w:jc w:val="both"/>
    </w:pPr>
    <w:rPr>
      <w:rFonts w:ascii="Arial" w:hAnsi="Arial"/>
      <w:sz w:val="20"/>
      <w:szCs w:val="20"/>
    </w:rPr>
  </w:style>
  <w:style w:type="character" w:customStyle="1" w:styleId="BodyTextChar">
    <w:name w:val="Body Text Char"/>
    <w:basedOn w:val="DefaultParagraphFont"/>
    <w:link w:val="BodyText"/>
    <w:rsid w:val="00CA7FE3"/>
    <w:rPr>
      <w:rFonts w:ascii="Arial" w:hAnsi="Arial"/>
    </w:rPr>
  </w:style>
  <w:style w:type="paragraph" w:customStyle="1" w:styleId="Recommendationtext">
    <w:name w:val="Recommendation text"/>
    <w:basedOn w:val="Normal"/>
    <w:rsid w:val="00CA7FE3"/>
    <w:pPr>
      <w:tabs>
        <w:tab w:val="num" w:pos="2880"/>
      </w:tabs>
      <w:spacing w:after="240" w:line="360" w:lineRule="auto"/>
      <w:ind w:left="1083" w:hanging="1083"/>
      <w:outlineLvl w:val="3"/>
    </w:pPr>
    <w:rPr>
      <w:rFonts w:ascii="Arial" w:hAnsi="Arial" w:cs="Arial"/>
      <w:b/>
      <w:iCs/>
      <w:szCs w:val="28"/>
      <w:lang w:val="en-US" w:eastAsia="en-US"/>
    </w:rPr>
  </w:style>
  <w:style w:type="paragraph" w:styleId="BalloonText">
    <w:name w:val="Balloon Text"/>
    <w:basedOn w:val="Normal"/>
    <w:link w:val="BalloonTextChar"/>
    <w:semiHidden/>
    <w:unhideWhenUsed/>
    <w:rsid w:val="00450395"/>
    <w:rPr>
      <w:rFonts w:ascii="Tahoma" w:hAnsi="Tahoma" w:cs="Tahoma"/>
      <w:sz w:val="16"/>
      <w:szCs w:val="16"/>
    </w:rPr>
  </w:style>
  <w:style w:type="character" w:customStyle="1" w:styleId="BalloonTextChar">
    <w:name w:val="Balloon Text Char"/>
    <w:basedOn w:val="DefaultParagraphFont"/>
    <w:link w:val="BalloonText"/>
    <w:uiPriority w:val="99"/>
    <w:semiHidden/>
    <w:rsid w:val="00450395"/>
    <w:rPr>
      <w:rFonts w:ascii="Tahoma" w:hAnsi="Tahoma" w:cs="Tahoma"/>
      <w:sz w:val="16"/>
      <w:szCs w:val="16"/>
    </w:rPr>
  </w:style>
  <w:style w:type="character" w:customStyle="1" w:styleId="Heading3Char">
    <w:name w:val="Heading 3 Char"/>
    <w:basedOn w:val="DefaultParagraphFont"/>
    <w:link w:val="Heading3"/>
    <w:rsid w:val="00C03CAC"/>
    <w:rPr>
      <w:rFonts w:ascii="Arial" w:hAnsi="Arial" w:cs="Arial"/>
      <w:b/>
      <w:bCs/>
      <w:sz w:val="24"/>
      <w:szCs w:val="24"/>
      <w:lang w:val="en-US" w:eastAsia="en-US"/>
    </w:rPr>
  </w:style>
  <w:style w:type="character" w:customStyle="1" w:styleId="Heading5Char">
    <w:name w:val="Heading 5 Char"/>
    <w:basedOn w:val="DefaultParagraphFont"/>
    <w:link w:val="Heading5"/>
    <w:rsid w:val="00C03CAC"/>
    <w:rPr>
      <w:rFonts w:ascii="Arial" w:hAnsi="Arial" w:cs="Arial"/>
      <w:b/>
      <w:bCs/>
      <w:szCs w:val="24"/>
      <w:u w:val="single"/>
      <w:lang w:val="en-US" w:eastAsia="en-US"/>
    </w:rPr>
  </w:style>
  <w:style w:type="paragraph" w:styleId="ListParagraph">
    <w:name w:val="List Paragraph"/>
    <w:basedOn w:val="Normal"/>
    <w:uiPriority w:val="99"/>
    <w:qFormat/>
    <w:rsid w:val="00C03CAC"/>
    <w:pPr>
      <w:spacing w:after="200" w:line="276" w:lineRule="auto"/>
      <w:ind w:left="720"/>
      <w:contextualSpacing/>
    </w:pPr>
    <w:rPr>
      <w:rFonts w:ascii="Calibri" w:eastAsia="Calibri" w:hAnsi="Calibri"/>
      <w:sz w:val="22"/>
      <w:szCs w:val="22"/>
      <w:lang w:eastAsia="en-US"/>
    </w:rPr>
  </w:style>
  <w:style w:type="paragraph" w:styleId="EndnoteText">
    <w:name w:val="endnote text"/>
    <w:basedOn w:val="Normal"/>
    <w:link w:val="EndnoteTextChar"/>
    <w:rsid w:val="00C03CAC"/>
    <w:rPr>
      <w:sz w:val="20"/>
      <w:szCs w:val="20"/>
      <w:lang w:eastAsia="en-US"/>
    </w:rPr>
  </w:style>
  <w:style w:type="character" w:customStyle="1" w:styleId="EndnoteTextChar">
    <w:name w:val="Endnote Text Char"/>
    <w:basedOn w:val="DefaultParagraphFont"/>
    <w:link w:val="EndnoteText"/>
    <w:rsid w:val="00C03CAC"/>
    <w:rPr>
      <w:lang w:eastAsia="en-US"/>
    </w:rPr>
  </w:style>
  <w:style w:type="character" w:styleId="EndnoteReference">
    <w:name w:val="endnote reference"/>
    <w:basedOn w:val="DefaultParagraphFont"/>
    <w:rsid w:val="00C03CAC"/>
    <w:rPr>
      <w:vertAlign w:val="superscript"/>
    </w:rPr>
  </w:style>
  <w:style w:type="character" w:customStyle="1" w:styleId="HeaderChar">
    <w:name w:val="Header Char"/>
    <w:basedOn w:val="DefaultParagraphFont"/>
    <w:link w:val="Header"/>
    <w:uiPriority w:val="99"/>
    <w:rsid w:val="00C03CAC"/>
    <w:rPr>
      <w:sz w:val="24"/>
      <w:szCs w:val="24"/>
    </w:rPr>
  </w:style>
  <w:style w:type="character" w:customStyle="1" w:styleId="Heading1Char">
    <w:name w:val="Heading 1 Char"/>
    <w:basedOn w:val="DefaultParagraphFont"/>
    <w:link w:val="Heading1"/>
    <w:uiPriority w:val="9"/>
    <w:rsid w:val="00AB5150"/>
    <w:rPr>
      <w:rFonts w:asciiTheme="majorHAnsi" w:eastAsiaTheme="majorEastAsia" w:hAnsiTheme="majorHAnsi" w:cstheme="majorBidi"/>
      <w:color w:val="2E74B5" w:themeColor="accent1" w:themeShade="BF"/>
      <w:sz w:val="32"/>
      <w:szCs w:val="32"/>
    </w:rPr>
  </w:style>
  <w:style w:type="paragraph" w:styleId="BodyText3">
    <w:name w:val="Body Text 3"/>
    <w:basedOn w:val="Normal"/>
    <w:link w:val="BodyText3Char"/>
    <w:uiPriority w:val="99"/>
    <w:semiHidden/>
    <w:unhideWhenUsed/>
    <w:rsid w:val="00AB5150"/>
    <w:pPr>
      <w:spacing w:after="120"/>
    </w:pPr>
    <w:rPr>
      <w:sz w:val="16"/>
      <w:szCs w:val="16"/>
    </w:rPr>
  </w:style>
  <w:style w:type="character" w:customStyle="1" w:styleId="BodyText3Char">
    <w:name w:val="Body Text 3 Char"/>
    <w:basedOn w:val="DefaultParagraphFont"/>
    <w:link w:val="BodyText3"/>
    <w:uiPriority w:val="99"/>
    <w:semiHidden/>
    <w:rsid w:val="00AB51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HERTS AND BEDS PASTORAL FOUNDATION</vt:lpstr>
    </vt:vector>
  </TitlesOfParts>
  <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HERTS AND BEDS PASTORAL FOUNDATION</dc:title>
  <dc:creator>sue</dc:creator>
  <cp:lastModifiedBy>Sue Clements</cp:lastModifiedBy>
  <cp:revision>2</cp:revision>
  <cp:lastPrinted>2014-09-30T15:28:00Z</cp:lastPrinted>
  <dcterms:created xsi:type="dcterms:W3CDTF">2015-01-09T16:40:00Z</dcterms:created>
  <dcterms:modified xsi:type="dcterms:W3CDTF">2015-01-09T16:40:00Z</dcterms:modified>
</cp:coreProperties>
</file>